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A5E40">
      <w:pPr>
        <w:keepNext/>
        <w:keepLines/>
        <w:spacing w:after="280"/>
        <w:ind w:firstLine="1767" w:firstLineChars="400"/>
        <w:outlineLvl w:val="1"/>
        <w:rPr>
          <w:rFonts w:ascii="仿宋_GB2312" w:hAnsi="仿宋" w:eastAsia="仿宋_GB2312" w:cs="MingLiU"/>
          <w:color w:val="000000"/>
          <w:kern w:val="0"/>
          <w:sz w:val="32"/>
          <w:szCs w:val="32"/>
          <w:lang w:val="zh-CN" w:bidi="zh-CN"/>
        </w:rPr>
      </w:pPr>
      <w:bookmarkStart w:id="0" w:name="bookmark2"/>
      <w:bookmarkStart w:id="1" w:name="bookmark3"/>
      <w:r>
        <w:rPr>
          <w:rFonts w:hint="eastAsia" w:ascii="仿宋_GB2312" w:hAnsi="仿宋" w:eastAsia="仿宋_GB2312" w:cs="MingLiU"/>
          <w:b/>
          <w:color w:val="000000"/>
          <w:kern w:val="0"/>
          <w:sz w:val="44"/>
          <w:szCs w:val="44"/>
          <w:lang w:val="en-US" w:bidi="zh-CN"/>
        </w:rPr>
        <w:t>门诊大厅LED屏</w:t>
      </w:r>
      <w:r>
        <w:rPr>
          <w:rFonts w:hint="eastAsia" w:ascii="仿宋_GB2312" w:hAnsi="仿宋" w:eastAsia="仿宋_GB2312" w:cs="MingLiU"/>
          <w:b/>
          <w:color w:val="000000"/>
          <w:kern w:val="0"/>
          <w:sz w:val="44"/>
          <w:szCs w:val="44"/>
          <w:lang w:val="zh-CN" w:bidi="zh-CN"/>
        </w:rPr>
        <w:t>采购项</w:t>
      </w:r>
      <w:bookmarkEnd w:id="0"/>
      <w:bookmarkEnd w:id="1"/>
      <w:r>
        <w:rPr>
          <w:rFonts w:hint="eastAsia" w:ascii="仿宋_GB2312" w:hAnsi="仿宋" w:eastAsia="仿宋_GB2312" w:cs="MingLiU"/>
          <w:b/>
          <w:color w:val="000000"/>
          <w:kern w:val="0"/>
          <w:sz w:val="44"/>
          <w:szCs w:val="44"/>
          <w:lang w:val="zh-CN" w:bidi="zh-CN"/>
        </w:rPr>
        <w:t>目</w:t>
      </w:r>
      <w:bookmarkStart w:id="2" w:name="bookmark4"/>
      <w:bookmarkStart w:id="3" w:name="bookmark5"/>
      <w:r>
        <w:rPr>
          <w:rFonts w:hint="eastAsia" w:ascii="仿宋_GB2312" w:hAnsi="仿宋" w:eastAsia="仿宋_GB2312" w:cs="MingLiU"/>
          <w:b/>
          <w:color w:val="000000"/>
          <w:kern w:val="0"/>
          <w:sz w:val="44"/>
          <w:szCs w:val="44"/>
          <w:lang w:val="zh-CN" w:bidi="zh-CN"/>
        </w:rPr>
        <w:t>需求</w:t>
      </w:r>
      <w:bookmarkEnd w:id="2"/>
      <w:bookmarkEnd w:id="3"/>
    </w:p>
    <w:p w14:paraId="3A6B0806">
      <w:pPr>
        <w:spacing w:after="120" w:line="276" w:lineRule="auto"/>
        <w:rPr>
          <w:rFonts w:ascii="仿宋_GB2312" w:hAnsi="黑体" w:eastAsia="仿宋_GB2312" w:cs="MingLiU"/>
          <w:b/>
          <w:kern w:val="0"/>
          <w:sz w:val="32"/>
          <w:szCs w:val="32"/>
          <w:lang w:val="zh-CN" w:bidi="zh-CN"/>
        </w:rPr>
      </w:pPr>
      <w:r>
        <w:rPr>
          <w:rFonts w:hint="eastAsia" w:ascii="仿宋_GB2312" w:hAnsi="楷体" w:eastAsia="仿宋_GB2312" w:cs="MingLiU"/>
          <w:iCs/>
          <w:kern w:val="0"/>
          <w:sz w:val="32"/>
          <w:szCs w:val="32"/>
          <w:lang w:val="zh-CN" w:bidi="zh-CN"/>
        </w:rPr>
        <w:t>（</w:t>
      </w:r>
      <w:r>
        <w:rPr>
          <w:rFonts w:hint="eastAsia" w:ascii="仿宋_GB2312" w:hAnsi="楷体" w:eastAsia="仿宋_GB2312" w:cs="MingLiU"/>
          <w:iCs/>
          <w:kern w:val="0"/>
          <w:sz w:val="32"/>
          <w:szCs w:val="32"/>
          <w:lang w:val="en-US" w:bidi="zh-CN"/>
        </w:rPr>
        <w:t>一</w:t>
      </w:r>
      <w:r>
        <w:rPr>
          <w:rFonts w:hint="eastAsia" w:ascii="仿宋_GB2312" w:hAnsi="楷体" w:eastAsia="仿宋_GB2312" w:cs="MingLiU"/>
          <w:iCs/>
          <w:kern w:val="0"/>
          <w:sz w:val="32"/>
          <w:szCs w:val="32"/>
          <w:lang w:val="zh-CN" w:bidi="zh-CN"/>
        </w:rPr>
        <w:t>）</w:t>
      </w:r>
      <w:r>
        <w:rPr>
          <w:rFonts w:hint="eastAsia" w:ascii="仿宋_GB2312" w:hAnsi="黑体" w:eastAsia="仿宋_GB2312" w:cs="MingLiU"/>
          <w:b/>
          <w:kern w:val="0"/>
          <w:sz w:val="32"/>
          <w:szCs w:val="32"/>
          <w:lang w:val="zh-CN" w:bidi="zh-CN"/>
        </w:rPr>
        <w:t>、项目需求预（概）算</w:t>
      </w:r>
    </w:p>
    <w:p w14:paraId="2C0484B8">
      <w:pPr>
        <w:spacing w:after="360" w:line="276" w:lineRule="auto"/>
        <w:ind w:firstLine="160" w:firstLineChars="50"/>
        <w:jc w:val="left"/>
        <w:rPr>
          <w:rFonts w:hint="default" w:ascii="仿宋_GB2312" w:hAnsi="仿宋" w:eastAsia="仿宋_GB2312" w:cs="MingLiU"/>
          <w:b w:val="0"/>
          <w:kern w:val="0"/>
          <w:sz w:val="28"/>
          <w:szCs w:val="28"/>
          <w:lang w:val="en-US" w:eastAsia="zh-CN" w:bidi="zh-CN"/>
        </w:rPr>
      </w:pPr>
      <w:r>
        <w:rPr>
          <w:rFonts w:hint="eastAsia" w:ascii="仿宋_GB2312" w:hAnsi="楷体" w:eastAsia="仿宋_GB2312" w:cs="MingLiU"/>
          <w:iCs/>
          <w:kern w:val="0"/>
          <w:sz w:val="32"/>
          <w:szCs w:val="32"/>
          <w:lang w:val="zh-CN" w:bidi="zh-CN"/>
        </w:rPr>
        <w:t>采购项目：</w:t>
      </w:r>
      <w:r>
        <w:rPr>
          <w:rFonts w:hint="eastAsia" w:ascii="仿宋_GB2312" w:hAnsi="仿宋" w:eastAsia="仿宋_GB2312" w:cs="MingLiU"/>
          <w:b w:val="0"/>
          <w:kern w:val="0"/>
          <w:sz w:val="28"/>
          <w:szCs w:val="28"/>
          <w:lang w:val="en-US" w:eastAsia="zh-CN" w:bidi="zh-CN"/>
        </w:rPr>
        <w:t>门诊LED屏采购项目</w:t>
      </w:r>
    </w:p>
    <w:tbl>
      <w:tblPr>
        <w:tblStyle w:val="10"/>
        <w:tblW w:w="0" w:type="auto"/>
        <w:jc w:val="center"/>
        <w:tblLayout w:type="fixed"/>
        <w:tblCellMar>
          <w:top w:w="0" w:type="dxa"/>
          <w:left w:w="10" w:type="dxa"/>
          <w:bottom w:w="0" w:type="dxa"/>
          <w:right w:w="10" w:type="dxa"/>
        </w:tblCellMar>
      </w:tblPr>
      <w:tblGrid>
        <w:gridCol w:w="749"/>
        <w:gridCol w:w="1560"/>
        <w:gridCol w:w="3001"/>
        <w:gridCol w:w="684"/>
        <w:gridCol w:w="992"/>
        <w:gridCol w:w="1767"/>
      </w:tblGrid>
      <w:tr w14:paraId="6BE2282C">
        <w:tblPrEx>
          <w:tblCellMar>
            <w:top w:w="0" w:type="dxa"/>
            <w:left w:w="10" w:type="dxa"/>
            <w:bottom w:w="0" w:type="dxa"/>
            <w:right w:w="10" w:type="dxa"/>
          </w:tblCellMar>
        </w:tblPrEx>
        <w:trPr>
          <w:trHeight w:val="728" w:hRule="exact"/>
          <w:jc w:val="center"/>
        </w:trPr>
        <w:tc>
          <w:tcPr>
            <w:tcW w:w="749" w:type="dxa"/>
            <w:tcBorders>
              <w:top w:val="single" w:color="auto" w:sz="4" w:space="0"/>
              <w:left w:val="single" w:color="auto" w:sz="4" w:space="0"/>
              <w:bottom w:val="nil"/>
              <w:right w:val="nil"/>
            </w:tcBorders>
            <w:shd w:val="clear" w:color="auto" w:fill="FFFFFF"/>
            <w:vAlign w:val="center"/>
          </w:tcPr>
          <w:p w14:paraId="2020A580">
            <w:pPr>
              <w:jc w:val="center"/>
              <w:rPr>
                <w:rFonts w:hint="default" w:ascii="仿宋_GB2312" w:hAnsi="仿宋" w:eastAsia="仿宋_GB2312" w:cs="MingLiU"/>
                <w:i/>
                <w:iCs/>
                <w:kern w:val="0"/>
                <w:sz w:val="28"/>
                <w:szCs w:val="28"/>
                <w:u w:val="single"/>
                <w:lang w:val="en-US" w:bidi="zh-CN"/>
              </w:rPr>
            </w:pPr>
            <w:r>
              <w:rPr>
                <w:rFonts w:hint="eastAsia" w:ascii="仿宋_GB2312" w:hAnsi="仿宋" w:eastAsia="仿宋_GB2312" w:cs="MingLiU"/>
                <w:i/>
                <w:iCs/>
                <w:kern w:val="0"/>
                <w:sz w:val="28"/>
                <w:szCs w:val="28"/>
                <w:lang w:bidi="zh-CN"/>
              </w:rPr>
              <w:t>序号</w:t>
            </w:r>
          </w:p>
        </w:tc>
        <w:tc>
          <w:tcPr>
            <w:tcW w:w="1560" w:type="dxa"/>
            <w:tcBorders>
              <w:top w:val="single" w:color="auto" w:sz="4" w:space="0"/>
              <w:left w:val="single" w:color="auto" w:sz="4" w:space="0"/>
              <w:bottom w:val="nil"/>
              <w:right w:val="nil"/>
            </w:tcBorders>
            <w:shd w:val="clear" w:color="auto" w:fill="FFFFFF"/>
            <w:vAlign w:val="center"/>
          </w:tcPr>
          <w:p w14:paraId="20CB03F1">
            <w:pPr>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bidi="zh-CN"/>
              </w:rPr>
              <w:t>类别</w:t>
            </w:r>
          </w:p>
        </w:tc>
        <w:tc>
          <w:tcPr>
            <w:tcW w:w="3001" w:type="dxa"/>
            <w:tcBorders>
              <w:top w:val="single" w:color="auto" w:sz="4" w:space="0"/>
              <w:left w:val="single" w:color="auto" w:sz="4" w:space="0"/>
              <w:bottom w:val="nil"/>
              <w:right w:val="nil"/>
            </w:tcBorders>
            <w:shd w:val="clear" w:color="auto" w:fill="FFFFFF"/>
            <w:vAlign w:val="center"/>
          </w:tcPr>
          <w:p w14:paraId="3D469421">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bidi="zh-CN"/>
              </w:rPr>
              <w:t>系统名称</w:t>
            </w:r>
          </w:p>
        </w:tc>
        <w:tc>
          <w:tcPr>
            <w:tcW w:w="684" w:type="dxa"/>
            <w:tcBorders>
              <w:top w:val="single" w:color="auto" w:sz="4" w:space="0"/>
              <w:left w:val="single" w:color="auto" w:sz="4" w:space="0"/>
              <w:bottom w:val="nil"/>
              <w:right w:val="single" w:color="auto" w:sz="4" w:space="0"/>
            </w:tcBorders>
            <w:shd w:val="clear" w:color="auto" w:fill="FFFFFF"/>
            <w:vAlign w:val="center"/>
          </w:tcPr>
          <w:p w14:paraId="7AF6C835">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bidi="zh-CN"/>
              </w:rPr>
              <w:t>数量</w:t>
            </w:r>
          </w:p>
        </w:tc>
        <w:tc>
          <w:tcPr>
            <w:tcW w:w="992" w:type="dxa"/>
            <w:tcBorders>
              <w:top w:val="single" w:color="auto" w:sz="4" w:space="0"/>
              <w:left w:val="single" w:color="auto" w:sz="4" w:space="0"/>
              <w:bottom w:val="nil"/>
              <w:right w:val="nil"/>
            </w:tcBorders>
            <w:shd w:val="clear" w:color="auto" w:fill="FFFFFF"/>
            <w:vAlign w:val="center"/>
          </w:tcPr>
          <w:p w14:paraId="13E833A5">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bidi="zh-CN"/>
              </w:rPr>
              <w:t>单位</w:t>
            </w:r>
          </w:p>
        </w:tc>
        <w:tc>
          <w:tcPr>
            <w:tcW w:w="1767" w:type="dxa"/>
            <w:tcBorders>
              <w:top w:val="single" w:color="auto" w:sz="4" w:space="0"/>
              <w:left w:val="single" w:color="auto" w:sz="4" w:space="0"/>
              <w:bottom w:val="nil"/>
              <w:right w:val="single" w:color="auto" w:sz="4" w:space="0"/>
            </w:tcBorders>
            <w:shd w:val="clear" w:color="auto" w:fill="FFFFFF"/>
            <w:vAlign w:val="center"/>
          </w:tcPr>
          <w:p w14:paraId="3C7E5C19">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bidi="zh-CN"/>
              </w:rPr>
              <w:t>预算（万</w:t>
            </w:r>
            <w:r>
              <w:rPr>
                <w:rFonts w:hint="eastAsia" w:ascii="仿宋_GB2312" w:hAnsi="仿宋" w:eastAsia="仿宋_GB2312" w:cs="MingLiU"/>
                <w:kern w:val="0"/>
                <w:sz w:val="28"/>
                <w:szCs w:val="28"/>
                <w:lang w:val="en-US" w:bidi="zh-CN"/>
              </w:rPr>
              <w:t>元</w:t>
            </w:r>
            <w:r>
              <w:rPr>
                <w:rFonts w:hint="eastAsia" w:ascii="仿宋_GB2312" w:hAnsi="仿宋" w:eastAsia="仿宋_GB2312" w:cs="MingLiU"/>
                <w:kern w:val="0"/>
                <w:sz w:val="28"/>
                <w:szCs w:val="28"/>
                <w:lang w:bidi="zh-CN"/>
              </w:rPr>
              <w:t>）</w:t>
            </w:r>
          </w:p>
        </w:tc>
      </w:tr>
      <w:tr w14:paraId="4D59489F">
        <w:tblPrEx>
          <w:tblCellMar>
            <w:top w:w="0" w:type="dxa"/>
            <w:left w:w="10" w:type="dxa"/>
            <w:bottom w:w="0" w:type="dxa"/>
            <w:right w:w="10" w:type="dxa"/>
          </w:tblCellMar>
        </w:tblPrEx>
        <w:trPr>
          <w:trHeight w:val="972" w:hRule="exact"/>
          <w:jc w:val="center"/>
        </w:trPr>
        <w:tc>
          <w:tcPr>
            <w:tcW w:w="749" w:type="dxa"/>
            <w:tcBorders>
              <w:top w:val="single" w:color="auto" w:sz="4" w:space="0"/>
              <w:left w:val="single" w:color="auto" w:sz="4" w:space="0"/>
              <w:bottom w:val="nil"/>
              <w:right w:val="nil"/>
            </w:tcBorders>
            <w:shd w:val="clear" w:color="auto" w:fill="FFFFFF"/>
            <w:vAlign w:val="center"/>
          </w:tcPr>
          <w:p w14:paraId="4F3A90DA">
            <w:pPr>
              <w:jc w:val="center"/>
              <w:rPr>
                <w:rFonts w:hint="eastAsia" w:ascii="仿宋_GB2312" w:hAnsi="仿宋" w:eastAsia="仿宋_GB2312" w:cs="Microsoft JhengHei Light"/>
                <w:color w:val="000000"/>
                <w:kern w:val="0"/>
                <w:sz w:val="28"/>
                <w:szCs w:val="28"/>
                <w:lang w:val="en-US" w:eastAsia="zh-CN" w:bidi="en-US"/>
              </w:rPr>
            </w:pPr>
            <w:r>
              <w:rPr>
                <w:rFonts w:hint="eastAsia" w:ascii="仿宋_GB2312" w:hAnsi="仿宋" w:eastAsia="仿宋_GB2312" w:cs="Microsoft JhengHei Light"/>
                <w:color w:val="000000"/>
                <w:kern w:val="0"/>
                <w:sz w:val="28"/>
                <w:szCs w:val="28"/>
                <w:lang w:val="en-US" w:eastAsia="zh-CN" w:bidi="en-US"/>
              </w:rPr>
              <w:t>1</w:t>
            </w:r>
          </w:p>
        </w:tc>
        <w:tc>
          <w:tcPr>
            <w:tcW w:w="1560" w:type="dxa"/>
            <w:tcBorders>
              <w:top w:val="single" w:color="auto" w:sz="4" w:space="0"/>
              <w:left w:val="single" w:color="auto" w:sz="4" w:space="0"/>
              <w:bottom w:val="nil"/>
              <w:right w:val="nil"/>
            </w:tcBorders>
            <w:shd w:val="clear" w:color="auto" w:fill="FFFFFF"/>
            <w:vAlign w:val="center"/>
          </w:tcPr>
          <w:p w14:paraId="67E1E3C4">
            <w:pPr>
              <w:spacing w:line="360" w:lineRule="exact"/>
              <w:jc w:val="center"/>
              <w:rPr>
                <w:rFonts w:hint="eastAsia" w:ascii="仿宋_GB2312" w:hAnsi="仿宋" w:eastAsia="仿宋_GB2312" w:cs="MingLiU"/>
                <w:i/>
                <w:iCs/>
                <w:kern w:val="0"/>
                <w:sz w:val="28"/>
                <w:szCs w:val="28"/>
                <w:u w:val="single"/>
                <w:lang w:val="en-US" w:bidi="zh-CN"/>
              </w:rPr>
            </w:pPr>
            <w:r>
              <w:rPr>
                <w:rFonts w:hint="eastAsia" w:ascii="仿宋_GB2312" w:hAnsi="仿宋" w:eastAsia="仿宋_GB2312" w:cs="MingLiU"/>
                <w:i/>
                <w:iCs/>
                <w:kern w:val="0"/>
                <w:sz w:val="28"/>
                <w:szCs w:val="28"/>
                <w:u w:val="single"/>
                <w:lang w:val="en-US" w:bidi="zh-CN"/>
              </w:rPr>
              <w:t>通用设备</w:t>
            </w:r>
          </w:p>
          <w:p w14:paraId="29F04374">
            <w:pPr>
              <w:pStyle w:val="7"/>
              <w:jc w:val="center"/>
              <w:rPr>
                <w:rFonts w:hint="default"/>
                <w:lang w:val="en-US"/>
              </w:rPr>
            </w:pPr>
          </w:p>
        </w:tc>
        <w:tc>
          <w:tcPr>
            <w:tcW w:w="3001" w:type="dxa"/>
            <w:tcBorders>
              <w:top w:val="single" w:color="auto" w:sz="4" w:space="0"/>
              <w:left w:val="single" w:color="auto" w:sz="4" w:space="0"/>
              <w:bottom w:val="nil"/>
              <w:right w:val="nil"/>
            </w:tcBorders>
            <w:shd w:val="clear" w:color="auto" w:fill="FFFFFF"/>
            <w:vAlign w:val="center"/>
          </w:tcPr>
          <w:p w14:paraId="06ED164F">
            <w:pPr>
              <w:pStyle w:val="3"/>
              <w:adjustRightInd w:val="0"/>
              <w:snapToGrid w:val="0"/>
              <w:spacing w:before="0" w:after="0" w:line="240" w:lineRule="auto"/>
              <w:jc w:val="center"/>
              <w:rPr>
                <w:rFonts w:hint="default" w:ascii="仿宋_GB2312" w:hAnsi="仿宋" w:eastAsia="仿宋_GB2312" w:cs="MingLiU"/>
                <w:b w:val="0"/>
                <w:kern w:val="0"/>
                <w:sz w:val="28"/>
                <w:szCs w:val="28"/>
                <w:lang w:val="en-US" w:eastAsia="zh-CN" w:bidi="zh-CN"/>
              </w:rPr>
            </w:pPr>
            <w:r>
              <w:rPr>
                <w:rFonts w:hint="eastAsia" w:ascii="仿宋_GB2312" w:hAnsi="仿宋" w:eastAsia="仿宋_GB2312" w:cs="MingLiU"/>
                <w:b w:val="0"/>
                <w:kern w:val="0"/>
                <w:sz w:val="28"/>
                <w:szCs w:val="28"/>
                <w:lang w:val="en-US" w:eastAsia="zh-CN" w:bidi="zh-CN"/>
              </w:rPr>
              <w:t>门诊大厅LED屏（含耗材施工费）</w:t>
            </w:r>
          </w:p>
        </w:tc>
        <w:tc>
          <w:tcPr>
            <w:tcW w:w="684" w:type="dxa"/>
            <w:tcBorders>
              <w:top w:val="single" w:color="auto" w:sz="4" w:space="0"/>
              <w:left w:val="single" w:color="auto" w:sz="4" w:space="0"/>
              <w:bottom w:val="nil"/>
              <w:right w:val="single" w:color="auto" w:sz="4" w:space="0"/>
            </w:tcBorders>
            <w:shd w:val="clear" w:color="auto" w:fill="FFFFFF"/>
            <w:vAlign w:val="center"/>
          </w:tcPr>
          <w:p w14:paraId="72E7BED5">
            <w:pPr>
              <w:pStyle w:val="3"/>
              <w:adjustRightInd w:val="0"/>
              <w:snapToGrid w:val="0"/>
              <w:spacing w:before="0" w:after="0" w:line="240" w:lineRule="auto"/>
              <w:jc w:val="center"/>
              <w:rPr>
                <w:rFonts w:hint="default" w:ascii="仿宋_GB2312" w:hAnsi="仿宋" w:eastAsia="仿宋_GB2312" w:cs="MingLiU"/>
                <w:b w:val="0"/>
                <w:kern w:val="0"/>
                <w:sz w:val="28"/>
                <w:szCs w:val="28"/>
                <w:lang w:val="en-US" w:eastAsia="zh-CN" w:bidi="zh-CN"/>
              </w:rPr>
            </w:pPr>
            <w:r>
              <w:rPr>
                <w:rFonts w:hint="eastAsia" w:ascii="仿宋_GB2312" w:hAnsi="仿宋" w:eastAsia="仿宋_GB2312" w:cs="MingLiU"/>
                <w:b w:val="0"/>
                <w:kern w:val="0"/>
                <w:sz w:val="28"/>
                <w:szCs w:val="28"/>
                <w:lang w:val="en-US" w:eastAsia="zh-CN" w:bidi="zh-CN"/>
              </w:rPr>
              <w:t>1</w:t>
            </w:r>
          </w:p>
        </w:tc>
        <w:tc>
          <w:tcPr>
            <w:tcW w:w="992" w:type="dxa"/>
            <w:tcBorders>
              <w:top w:val="single" w:color="auto" w:sz="4" w:space="0"/>
              <w:left w:val="single" w:color="auto" w:sz="4" w:space="0"/>
              <w:bottom w:val="nil"/>
              <w:right w:val="nil"/>
            </w:tcBorders>
            <w:shd w:val="clear" w:color="auto" w:fill="FFFFFF"/>
            <w:vAlign w:val="center"/>
          </w:tcPr>
          <w:p w14:paraId="2DF22C90">
            <w:pPr>
              <w:spacing w:line="330" w:lineRule="exact"/>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项</w:t>
            </w:r>
          </w:p>
        </w:tc>
        <w:tc>
          <w:tcPr>
            <w:tcW w:w="1767" w:type="dxa"/>
            <w:tcBorders>
              <w:top w:val="single" w:color="auto" w:sz="4" w:space="0"/>
              <w:left w:val="single" w:color="auto" w:sz="4" w:space="0"/>
              <w:bottom w:val="nil"/>
              <w:right w:val="single" w:color="auto" w:sz="4" w:space="0"/>
            </w:tcBorders>
            <w:shd w:val="clear" w:color="auto" w:fill="FFFFFF"/>
            <w:vAlign w:val="center"/>
          </w:tcPr>
          <w:p w14:paraId="68D1EFB6">
            <w:pPr>
              <w:spacing w:line="330" w:lineRule="exact"/>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7.7</w:t>
            </w:r>
          </w:p>
        </w:tc>
      </w:tr>
      <w:tr w14:paraId="152CFB3D">
        <w:tblPrEx>
          <w:tblCellMar>
            <w:top w:w="0" w:type="dxa"/>
            <w:left w:w="10" w:type="dxa"/>
            <w:bottom w:w="0" w:type="dxa"/>
            <w:right w:w="10" w:type="dxa"/>
          </w:tblCellMar>
        </w:tblPrEx>
        <w:trPr>
          <w:trHeight w:val="491" w:hRule="exact"/>
          <w:jc w:val="center"/>
        </w:trPr>
        <w:tc>
          <w:tcPr>
            <w:tcW w:w="749" w:type="dxa"/>
            <w:tcBorders>
              <w:top w:val="single" w:color="auto" w:sz="4" w:space="0"/>
              <w:left w:val="single" w:color="auto" w:sz="4" w:space="0"/>
              <w:bottom w:val="single" w:color="auto" w:sz="4" w:space="0"/>
              <w:right w:val="nil"/>
            </w:tcBorders>
            <w:shd w:val="clear" w:color="auto" w:fill="FFFFFF"/>
            <w:vAlign w:val="center"/>
          </w:tcPr>
          <w:p w14:paraId="5D4E9785">
            <w:pPr>
              <w:jc w:val="center"/>
              <w:rPr>
                <w:rFonts w:ascii="仿宋_GB2312" w:hAnsi="微软雅黑" w:eastAsia="仿宋_GB2312" w:cs="Microsoft JhengHei Light"/>
                <w:color w:val="000000"/>
                <w:kern w:val="0"/>
                <w:sz w:val="28"/>
                <w:szCs w:val="28"/>
                <w:lang w:bidi="en-US"/>
              </w:rPr>
            </w:pPr>
          </w:p>
        </w:tc>
        <w:tc>
          <w:tcPr>
            <w:tcW w:w="1560" w:type="dxa"/>
            <w:tcBorders>
              <w:top w:val="single" w:color="auto" w:sz="4" w:space="0"/>
              <w:left w:val="single" w:color="auto" w:sz="4" w:space="0"/>
              <w:bottom w:val="single" w:color="auto" w:sz="4" w:space="0"/>
              <w:right w:val="nil"/>
            </w:tcBorders>
            <w:shd w:val="clear" w:color="auto" w:fill="FFFFFF"/>
            <w:vAlign w:val="center"/>
          </w:tcPr>
          <w:p w14:paraId="483E756F">
            <w:pPr>
              <w:jc w:val="center"/>
              <w:rPr>
                <w:rFonts w:ascii="仿宋_GB2312" w:hAnsi="微软雅黑" w:eastAsia="仿宋_GB2312" w:cs="Microsoft JhengHei Light"/>
                <w:color w:val="000000"/>
                <w:kern w:val="0"/>
                <w:sz w:val="28"/>
                <w:szCs w:val="28"/>
                <w:lang w:bidi="en-US"/>
              </w:rPr>
            </w:pPr>
          </w:p>
        </w:tc>
        <w:tc>
          <w:tcPr>
            <w:tcW w:w="3001" w:type="dxa"/>
            <w:tcBorders>
              <w:top w:val="single" w:color="auto" w:sz="4" w:space="0"/>
              <w:left w:val="single" w:color="auto" w:sz="4" w:space="0"/>
              <w:bottom w:val="single" w:color="auto" w:sz="4" w:space="0"/>
              <w:right w:val="nil"/>
            </w:tcBorders>
            <w:shd w:val="clear" w:color="auto" w:fill="FFFFFF"/>
            <w:vAlign w:val="center"/>
          </w:tcPr>
          <w:p w14:paraId="777DFD0F">
            <w:pPr>
              <w:pStyle w:val="3"/>
              <w:adjustRightInd w:val="0"/>
              <w:snapToGrid w:val="0"/>
              <w:spacing w:before="0" w:after="0" w:line="240" w:lineRule="auto"/>
              <w:jc w:val="center"/>
              <w:rPr>
                <w:rFonts w:hint="eastAsia" w:ascii="仿宋_GB2312" w:hAnsi="仿宋" w:eastAsia="仿宋_GB2312" w:cs="MingLiU"/>
                <w:b w:val="0"/>
                <w:kern w:val="0"/>
                <w:sz w:val="28"/>
                <w:szCs w:val="28"/>
                <w:lang w:val="zh-CN" w:eastAsia="zh-CN" w:bidi="zh-CN"/>
              </w:rPr>
            </w:pPr>
          </w:p>
        </w:tc>
        <w:tc>
          <w:tcPr>
            <w:tcW w:w="684" w:type="dxa"/>
            <w:tcBorders>
              <w:top w:val="single" w:color="auto" w:sz="4" w:space="0"/>
              <w:left w:val="single" w:color="auto" w:sz="4" w:space="0"/>
              <w:bottom w:val="single" w:color="auto" w:sz="4" w:space="0"/>
              <w:right w:val="single" w:color="auto" w:sz="4" w:space="0"/>
            </w:tcBorders>
            <w:shd w:val="clear" w:color="auto" w:fill="FFFFFF"/>
          </w:tcPr>
          <w:p w14:paraId="1B69E1FA">
            <w:pPr>
              <w:pStyle w:val="3"/>
              <w:adjustRightInd w:val="0"/>
              <w:snapToGrid w:val="0"/>
              <w:spacing w:before="0" w:after="0" w:line="240" w:lineRule="auto"/>
              <w:jc w:val="center"/>
              <w:rPr>
                <w:rFonts w:hint="eastAsia" w:ascii="仿宋_GB2312" w:hAnsi="仿宋" w:eastAsia="仿宋_GB2312" w:cs="MingLiU"/>
                <w:b w:val="0"/>
                <w:kern w:val="0"/>
                <w:sz w:val="28"/>
                <w:szCs w:val="28"/>
                <w:lang w:val="zh-CN" w:eastAsia="zh-CN" w:bidi="zh-CN"/>
              </w:rPr>
            </w:pPr>
          </w:p>
        </w:tc>
        <w:tc>
          <w:tcPr>
            <w:tcW w:w="992" w:type="dxa"/>
            <w:tcBorders>
              <w:top w:val="single" w:color="auto" w:sz="4" w:space="0"/>
              <w:left w:val="single" w:color="auto" w:sz="4" w:space="0"/>
              <w:bottom w:val="single" w:color="auto" w:sz="4" w:space="0"/>
              <w:right w:val="nil"/>
            </w:tcBorders>
            <w:shd w:val="clear" w:color="auto" w:fill="FFFFFF"/>
            <w:vAlign w:val="center"/>
          </w:tcPr>
          <w:p w14:paraId="346097A6">
            <w:pPr>
              <w:jc w:val="center"/>
              <w:rPr>
                <w:rFonts w:ascii="仿宋_GB2312" w:hAnsi="微软雅黑" w:eastAsia="仿宋_GB2312" w:cs="Microsoft JhengHei Light"/>
                <w:color w:val="000000"/>
                <w:kern w:val="0"/>
                <w:sz w:val="28"/>
                <w:szCs w:val="28"/>
                <w:lang w:bidi="en-US"/>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0C3A999B">
            <w:pPr>
              <w:jc w:val="center"/>
              <w:rPr>
                <w:rFonts w:ascii="仿宋_GB2312" w:hAnsi="微软雅黑" w:eastAsia="仿宋_GB2312" w:cs="Microsoft JhengHei Light"/>
                <w:color w:val="000000"/>
                <w:kern w:val="0"/>
                <w:sz w:val="28"/>
                <w:szCs w:val="28"/>
                <w:lang w:bidi="en-US"/>
              </w:rPr>
            </w:pPr>
          </w:p>
        </w:tc>
      </w:tr>
    </w:tbl>
    <w:p w14:paraId="787EA459">
      <w:pPr>
        <w:spacing w:after="360" w:line="276" w:lineRule="auto"/>
        <w:ind w:firstLine="420" w:firstLineChars="150"/>
        <w:jc w:val="left"/>
        <w:rPr>
          <w:rFonts w:hint="eastAsia" w:ascii="仿宋_GB2312" w:hAnsi="楷体" w:eastAsia="仿宋_GB2312" w:cs="MingLiU"/>
          <w:iCs/>
          <w:kern w:val="0"/>
          <w:sz w:val="32"/>
          <w:szCs w:val="32"/>
          <w:lang w:val="zh-CN" w:bidi="zh-CN"/>
        </w:rPr>
      </w:pPr>
      <w:r>
        <w:rPr>
          <w:rFonts w:hint="eastAsia" w:ascii="仿宋_GB2312" w:hAnsi="仿宋" w:eastAsia="仿宋_GB2312" w:cs="MingLiU"/>
          <w:kern w:val="0"/>
          <w:sz w:val="28"/>
          <w:szCs w:val="28"/>
          <w:lang w:val="zh-CN" w:bidi="zh-CN"/>
        </w:rPr>
        <w:t>说明：项目类别分为医用设备、通用设备、工程、服务、维修、维保、耗材。</w:t>
      </w:r>
    </w:p>
    <w:p w14:paraId="2A9DFB79">
      <w:pPr>
        <w:numPr>
          <w:ilvl w:val="0"/>
          <w:numId w:val="2"/>
        </w:numPr>
        <w:spacing w:after="360" w:line="276" w:lineRule="auto"/>
        <w:jc w:val="left"/>
        <w:rPr>
          <w:rFonts w:hint="eastAsia" w:ascii="仿宋_GB2312" w:hAnsi="楷体" w:eastAsia="仿宋_GB2312" w:cs="MingLiU"/>
          <w:b/>
          <w:iCs/>
          <w:kern w:val="0"/>
          <w:sz w:val="32"/>
          <w:szCs w:val="32"/>
          <w:lang w:val="zh-CN" w:bidi="zh-CN"/>
        </w:rPr>
      </w:pPr>
      <w:r>
        <w:rPr>
          <w:rFonts w:hint="eastAsia" w:ascii="仿宋_GB2312" w:hAnsi="楷体" w:eastAsia="仿宋_GB2312" w:cs="MingLiU"/>
          <w:b/>
          <w:iCs/>
          <w:kern w:val="0"/>
          <w:sz w:val="32"/>
          <w:szCs w:val="32"/>
          <w:lang w:val="zh-CN" w:bidi="zh-CN"/>
        </w:rPr>
        <w:t>项目</w:t>
      </w:r>
      <w:r>
        <w:rPr>
          <w:rFonts w:hint="eastAsia" w:ascii="仿宋_GB2312" w:hAnsi="黑体" w:eastAsia="仿宋_GB2312" w:cs="MingLiU"/>
          <w:b/>
          <w:kern w:val="0"/>
          <w:sz w:val="32"/>
          <w:szCs w:val="32"/>
          <w:lang w:val="zh-CN" w:bidi="zh-CN"/>
        </w:rPr>
        <w:t>需求</w:t>
      </w:r>
      <w:r>
        <w:rPr>
          <w:rFonts w:hint="eastAsia" w:ascii="仿宋_GB2312" w:hAnsi="楷体" w:eastAsia="仿宋_GB2312" w:cs="MingLiU"/>
          <w:b/>
          <w:iCs/>
          <w:kern w:val="0"/>
          <w:sz w:val="32"/>
          <w:szCs w:val="32"/>
          <w:lang w:val="zh-CN" w:bidi="zh-CN"/>
        </w:rPr>
        <w:t>：</w:t>
      </w:r>
    </w:p>
    <w:tbl>
      <w:tblPr>
        <w:tblStyle w:val="10"/>
        <w:tblW w:w="38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8"/>
        <w:gridCol w:w="3498"/>
      </w:tblGrid>
      <w:tr w14:paraId="4729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FE6">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屏体尺寸;4.8m×2.56m=12.288m²</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37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Style w:val="16"/>
                <w:lang w:val="en-US" w:eastAsia="zh-CN" w:bidi="ar"/>
              </w:rPr>
              <w:t>屏体分辨率：2580</w:t>
            </w:r>
            <w:r>
              <w:rPr>
                <w:rStyle w:val="17"/>
                <w:lang w:val="en-US" w:eastAsia="zh-CN" w:bidi="ar"/>
              </w:rPr>
              <w:t>×1376=3550080</w:t>
            </w:r>
          </w:p>
        </w:tc>
      </w:tr>
    </w:tbl>
    <w:p w14:paraId="31B4FC8C">
      <w:pPr>
        <w:pStyle w:val="7"/>
        <w:numPr>
          <w:ilvl w:val="0"/>
          <w:numId w:val="0"/>
        </w:numPr>
        <w:rPr>
          <w:rFonts w:hint="eastAsia"/>
          <w:lang w:val="zh-CN"/>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339"/>
        <w:gridCol w:w="5087"/>
        <w:gridCol w:w="1369"/>
        <w:gridCol w:w="706"/>
      </w:tblGrid>
      <w:tr w14:paraId="178A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99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0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室内P1.8全彩LED屏</w:t>
            </w:r>
          </w:p>
        </w:tc>
        <w:tc>
          <w:tcPr>
            <w:tcW w:w="2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4AF1">
            <w:pPr>
              <w:keepNext w:val="0"/>
              <w:keepLines w:val="0"/>
              <w:widowControl/>
              <w:numPr>
                <w:ilvl w:val="0"/>
                <w:numId w:val="3"/>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像</w:t>
            </w:r>
            <w:r>
              <w:rPr>
                <w:rFonts w:hint="eastAsia" w:ascii="宋体" w:hAnsi="宋体" w:eastAsia="宋体" w:cs="宋体"/>
                <w:b w:val="0"/>
                <w:bCs w:val="0"/>
                <w:sz w:val="21"/>
                <w:szCs w:val="21"/>
                <w:highlight w:val="none"/>
                <w:lang w:eastAsia="zh-CN"/>
              </w:rPr>
              <w:t>素点间距：</w:t>
            </w:r>
            <w:r>
              <w:rPr>
                <w:rFonts w:hint="eastAsia" w:ascii="宋体" w:hAnsi="宋体" w:eastAsia="宋体" w:cs="宋体"/>
                <w:color w:val="auto"/>
                <w:sz w:val="21"/>
                <w:szCs w:val="21"/>
                <w:highlight w:val="none"/>
                <w:lang w:val="en-US" w:eastAsia="zh-CN"/>
              </w:rPr>
              <w:t>≤1.8mm，</w:t>
            </w:r>
            <w:r>
              <w:rPr>
                <w:rFonts w:hint="eastAsia" w:ascii="宋体" w:hAnsi="宋体" w:eastAsia="宋体" w:cs="宋体"/>
                <w:b w:val="0"/>
                <w:bCs w:val="0"/>
                <w:sz w:val="21"/>
                <w:szCs w:val="21"/>
                <w:highlight w:val="none"/>
                <w:lang w:val="en-US" w:eastAsia="zh-CN"/>
              </w:rPr>
              <w:t>刷新率</w:t>
            </w:r>
            <w:r>
              <w:rPr>
                <w:rFonts w:hint="eastAsia" w:ascii="宋体" w:hAnsi="宋体" w:eastAsia="宋体" w:cs="宋体"/>
                <w:b w:val="0"/>
                <w:bCs w:val="0"/>
                <w:sz w:val="21"/>
                <w:szCs w:val="21"/>
                <w:lang w:val="en-US" w:eastAsia="zh-CN"/>
              </w:rPr>
              <w:t>：≥3840Hz，支持通过配套控制软件调节刷新率设置选项；</w:t>
            </w:r>
          </w:p>
          <w:p w14:paraId="4AB3A065">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像素构成：1R、1G、1B；</w:t>
            </w:r>
          </w:p>
          <w:p w14:paraId="2190747F">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封装方式：SMD表贴三合一，铜线封装驱动方式：恒流驱动；</w:t>
            </w:r>
          </w:p>
          <w:p w14:paraId="74558FC5">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控制方式：同步控制系统；</w:t>
            </w:r>
          </w:p>
          <w:p w14:paraId="5CB46F78">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维护方式：前后双向维护；</w:t>
            </w:r>
          </w:p>
          <w:p w14:paraId="588CB938">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整屏平整度≤0.05mm；</w:t>
            </w:r>
          </w:p>
          <w:p w14:paraId="22DDFA45">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白平衡亮度：0-600cd/㎡可调，亮度调节：0-100%亮度可调，256级手动/自动调节，屏幕亮度具有随环境照度的变化任意调整功能，亮度均匀性≥98%；</w:t>
            </w:r>
          </w:p>
          <w:p w14:paraId="5517E310">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色温800K-18000K可调；白平衡状态下色温在6500K±5%；色温为6500K时，100%75%50%25%档电平白场调节色温误差≤100K；</w:t>
            </w:r>
          </w:p>
          <w:p w14:paraId="3941A302">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水平视角≥170°；垂直视角≥170°；</w:t>
            </w:r>
          </w:p>
          <w:p w14:paraId="30D00FE9">
            <w:pPr>
              <w:keepNext w:val="0"/>
              <w:keepLines w:val="0"/>
              <w:pageBreakBefore w:val="0"/>
              <w:widowControl/>
              <w:numPr>
                <w:ilvl w:val="0"/>
                <w:numId w:val="4"/>
              </w:numPr>
              <w:suppressLineNumbers w:val="0"/>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具有H2S宽动态处理技术，主控机二次重复播放时的衰减等现象；</w:t>
            </w:r>
          </w:p>
          <w:p w14:paraId="1C65DE31">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对比度≥9000：1；</w:t>
            </w:r>
          </w:p>
          <w:p w14:paraId="0B1CE329">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灰度等级≥13bit，红绿蓝各256级，可达16384级，采用EPWM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1BB937B4">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峰值功耗≤450W/m²；平均功耗≤173W/m²；</w:t>
            </w:r>
          </w:p>
          <w:p w14:paraId="04E24D33">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供电电源：在4.2*（1±10%）VDC～4.5*（1±10%）VDC范围内能正常工作；</w:t>
            </w:r>
          </w:p>
          <w:p w14:paraId="15461F09">
            <w:pPr>
              <w:keepNext w:val="0"/>
              <w:keepLines w:val="0"/>
              <w:pageBreakBefore w:val="0"/>
              <w:widowControl/>
              <w:numPr>
                <w:ilvl w:val="0"/>
                <w:numId w:val="4"/>
              </w:numPr>
              <w:suppressLineNumbers w:val="0"/>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供电电源：在4.2*（1±10%）VDC～4.5*（1±10%）VDC范围内能正常工作；峰值功耗≤300W/m²；平均功耗≤120W/m²；</w:t>
            </w:r>
          </w:p>
          <w:p w14:paraId="0C7952BB">
            <w:pPr>
              <w:keepNext w:val="0"/>
              <w:keepLines w:val="0"/>
              <w:pageBreakBefore w:val="0"/>
              <w:widowControl/>
              <w:numPr>
                <w:ilvl w:val="0"/>
                <w:numId w:val="4"/>
              </w:numPr>
              <w:suppressLineNumbers w:val="0"/>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防护性能：具有防静电、防电磁干扰、防腐蚀、防霉菌、防虫、防潮、抗震动、抗雷击等功能；具有电源过压、过流、断电保护、分布上电措施，防护等级达到IP60.</w:t>
            </w:r>
          </w:p>
          <w:p w14:paraId="03B3DFB0">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具有列下消隐功能、倍频刷新率提升2/4/8倍、低灰偏色改善；</w:t>
            </w:r>
          </w:p>
          <w:p w14:paraId="4F77513A">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色坐标X、Y坐标符合SJ/T11141-2017 5.10.5规定；色度均匀性±0.001Cx、Cy内；色域空间≥120% NTSC，LED显示屏ColorSPace覆盖率≥170%YUV(PAL)；</w:t>
            </w:r>
          </w:p>
          <w:p w14:paraId="5814B5E7">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记忆储存于LED显示模块中，更换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0DE31DD2">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屏体内部所用排线需符合耐高温实验、耐压测试、折弯参数测试要求，耐燃等级符合VW-1/UL94V-0；</w:t>
            </w:r>
          </w:p>
          <w:p w14:paraId="3A7192BF">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产品可智能调节正常工作与睡眠状态下的节能效果（动态节能，智能息屏），开启智能节电功能比没有开启节能50%以上；</w:t>
            </w:r>
          </w:p>
          <w:p w14:paraId="37A40073">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具备防蓝光护眼功能，蓝光辐射能量≤20%。蓝光辐射能量值对人眼视网膜无伤害，LED显示屏蓝光辐亮度≤0.5W.m-2.sr-1,符合肉眼观看标准。</w:t>
            </w:r>
          </w:p>
          <w:p w14:paraId="63A86B60">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支持PPA碗杯结构、点胶封装、出光方式为单面发光；显示面采用高强度化学防护材质，防碰撞、耐冲击、高耐磨、抗腐蚀、防划痕，可直接擦拭LED附着力≥100N；在灯珠四侧以水平 夹角 45°的方向施加推力 15N，灯珠未破碎或脱落。</w:t>
            </w:r>
          </w:p>
          <w:p w14:paraId="0FDEB60D">
            <w:pPr>
              <w:keepNext w:val="0"/>
              <w:keepLines w:val="0"/>
              <w:pageBreakBefore w:val="0"/>
              <w:widowControl/>
              <w:numPr>
                <w:ilvl w:val="0"/>
                <w:numId w:val="4"/>
              </w:numPr>
              <w:suppressLineNumbers w:val="0"/>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所投LED显示屏符合GB/T 26125-2011和GB/T 26572-2011认证标准要求，且符合CQC21-NV330-2019《电器电子产品有害物质限制使用认证实施细则》的要求，具有电器电子产品有害物质限制使用产品认证证书，提供证书复印件，加盖制造商公章。</w:t>
            </w:r>
          </w:p>
          <w:p w14:paraId="15E91694">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支持鬼影消除、首行暗亮消除、低灰偏色补偿、低灰均匀性、低灰横条纹消除、慢速开启、十字架消除、去坏点、毛毛虫消除、余辉消除、亮度缓慢变亮功能</w:t>
            </w:r>
          </w:p>
          <w:p w14:paraId="7C17BBBE">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为保证产品使用安全，静电电压衰减期（±1000-±100V）≤2S；摩擦起电电压|V|≤100V；</w:t>
            </w:r>
          </w:p>
          <w:p w14:paraId="7D7C282E">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★为保证所提供产品来源正规，需承诺中标后在签订合同时提供加盖制造商公章的授权、质保承诺书等（承诺格式自拟）</w:t>
            </w:r>
          </w:p>
          <w:p w14:paraId="00430F62">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LED电子显示屏产品通过TUV莱茵低蓝光认证和国际电工委员会质量评定体系（IECQ）标准证书。提供证书复印件或扫描件。</w:t>
            </w:r>
          </w:p>
          <w:p w14:paraId="5518E9D6">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本项目不接受ODM产品，LED显示屏须提供本产品的3C认证证书，要求3C认证证书中申请人、制造商、生产企业三者名称须一致或为同一集团、法人企业，并提供复印件或扫描件附在响应文件中，不提供按无效标处理。</w:t>
            </w:r>
          </w:p>
          <w:p w14:paraId="40C50C9E">
            <w:pPr>
              <w:keepNext w:val="0"/>
              <w:keepLines w:val="0"/>
              <w:widowControl/>
              <w:numPr>
                <w:ilvl w:val="0"/>
                <w:numId w:val="4"/>
              </w:numPr>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LED显示屏产品具有蓝光护眼多重过滤保护系统和智能组态电源检测系统；需提供国家级权威部门出具的证书复印件及网页功能描述查询截图。</w:t>
            </w:r>
          </w:p>
          <w:p w14:paraId="7D61F050">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LED显示屏产品具备高光效集成线路控制系统、集成泛光灯线路控制系统，需提供国家级权威部门出具的证书复印件及网页功能描述查询截图。</w:t>
            </w:r>
          </w:p>
          <w:p w14:paraId="4894C3BC">
            <w:pPr>
              <w:keepNext w:val="0"/>
              <w:keepLines w:val="0"/>
              <w:widowControl/>
              <w:numPr>
                <w:ilvl w:val="0"/>
                <w:numId w:val="4"/>
              </w:numPr>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LED显示产品符合高清环保标准化技术应用（提供相关证明材料）</w:t>
            </w:r>
            <w:r>
              <w:rPr>
                <w:rFonts w:hint="eastAsia" w:ascii="宋体" w:hAnsi="宋体" w:eastAsia="宋体" w:cs="宋体"/>
                <w:sz w:val="21"/>
                <w:szCs w:val="21"/>
                <w:highlight w:val="none"/>
                <w:lang w:eastAsia="zh-CN"/>
              </w:rPr>
              <w:t>。</w:t>
            </w:r>
          </w:p>
          <w:p w14:paraId="293EC9F7">
            <w:pPr>
              <w:keepNext w:val="0"/>
              <w:keepLines w:val="0"/>
              <w:widowControl/>
              <w:numPr>
                <w:ilvl w:val="0"/>
                <w:numId w:val="4"/>
              </w:numPr>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LED显示屏厂家符合GB/T23793-2017标准规定的五星级要求，获得供应商综合实力评价认证证书，提供相关证明材料</w:t>
            </w:r>
            <w:r>
              <w:rPr>
                <w:rFonts w:hint="eastAsia" w:ascii="宋体" w:hAnsi="宋体" w:eastAsia="宋体" w:cs="宋体"/>
                <w:sz w:val="21"/>
                <w:szCs w:val="21"/>
                <w:highlight w:val="none"/>
                <w:lang w:eastAsia="zh-CN"/>
              </w:rPr>
              <w:t>。</w:t>
            </w:r>
          </w:p>
          <w:p w14:paraId="26A2DA27">
            <w:pPr>
              <w:keepNext w:val="0"/>
              <w:keepLines w:val="0"/>
              <w:widowControl/>
              <w:numPr>
                <w:ilvl w:val="0"/>
                <w:numId w:val="4"/>
              </w:numPr>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b w:val="0"/>
                <w:bCs w:val="0"/>
                <w:color w:val="auto"/>
                <w:sz w:val="21"/>
                <w:szCs w:val="21"/>
                <w:highlight w:val="none"/>
                <w:lang w:val="en-US" w:eastAsia="zh-CN"/>
              </w:rPr>
              <w:t>所投产品LED显示屏制造厂商获得由工信部颁发的国家级绿色工厂荣誉和绿色供应链管理企业，需提供证书复印件。</w:t>
            </w:r>
          </w:p>
          <w:p w14:paraId="58E51B07">
            <w:pPr>
              <w:keepNext w:val="0"/>
              <w:keepLines w:val="0"/>
              <w:widowControl/>
              <w:numPr>
                <w:ilvl w:val="0"/>
                <w:numId w:val="4"/>
              </w:numPr>
              <w:suppressLineNumbers w:val="0"/>
              <w:ind w:left="0" w:leftChars="0" w:firstLine="0" w:firstLineChars="0"/>
              <w:jc w:val="left"/>
              <w:rPr>
                <w:rFonts w:hint="eastAsia" w:ascii="宋体" w:hAnsi="宋体" w:eastAsia="宋体" w:cs="宋体"/>
                <w:i w:val="0"/>
                <w:iCs w:val="0"/>
                <w:color w:val="000000"/>
                <w:sz w:val="21"/>
                <w:szCs w:val="21"/>
                <w:u w:val="none"/>
              </w:rPr>
            </w:pPr>
            <w:r>
              <w:rPr>
                <w:rFonts w:hint="eastAsia" w:ascii="宋体" w:hAnsi="宋体" w:eastAsia="宋体" w:cs="宋体"/>
                <w:sz w:val="21"/>
                <w:szCs w:val="21"/>
                <w:highlight w:val="none"/>
              </w:rPr>
              <w:t>★为保障LED显示屏系统稳定性，中标公示发布后</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个日历日</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，中标供应商应携带本项目竞价参数的</w:t>
            </w:r>
            <w:r>
              <w:rPr>
                <w:rFonts w:hint="eastAsia" w:ascii="宋体" w:hAnsi="宋体" w:eastAsia="宋体" w:cs="宋体"/>
                <w:b w:val="0"/>
                <w:bCs w:val="0"/>
                <w:sz w:val="21"/>
                <w:szCs w:val="21"/>
                <w:lang w:val="en-US" w:eastAsia="zh-CN"/>
              </w:rPr>
              <w:t>具有CNAS/ilac-MRA/CMA标识的权威第三方检测机构出具的检测报告复印件或扫描件证明并加盖制造商公章</w:t>
            </w:r>
            <w:r>
              <w:rPr>
                <w:rFonts w:hint="eastAsia" w:ascii="宋体" w:hAnsi="宋体" w:eastAsia="宋体" w:cs="宋体"/>
                <w:sz w:val="21"/>
                <w:szCs w:val="21"/>
                <w:highlight w:val="none"/>
              </w:rPr>
              <w:t>、不符合竞价产品参数要求，采购单位将不予签订竞价合同，并上报上级采购监管单位对竞价成功公司予以处罚。</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9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12.29</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2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365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32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275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•输出电流：40AA,输入电压：220V,输出电压：4.5V；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•电压调整率：10%,负载调整率：5%,输出功率：200W；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•类型：AC/DC,电源晶体管连接方式：单端式；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•工作效率：90%,输出电压精度：95%。</w:t>
            </w:r>
          </w:p>
          <w:p w14:paraId="46D1292F">
            <w:pPr>
              <w:pStyle w:val="7"/>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根据LED屏实际配置。</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F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9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27A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0F0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1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2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B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超五类网线、RVV2.5三芯铜线、红黑电源线、16P长排线等</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2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12.29</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3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DAB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1E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4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接收卡</w:t>
            </w:r>
          </w:p>
        </w:tc>
        <w:tc>
          <w:tcPr>
            <w:tcW w:w="2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91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•集成HUB75，</w:t>
            </w:r>
          </w:p>
          <w:p w14:paraId="38E8D2C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•支持常规芯片实现高刷新、高灰度、高亮度；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•可消除单元板设计引起的某行偏暗、低灰偏红、鬼影等细节问题；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•支持亮度一体化逐点校正；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•支持所有常规芯片、PWM芯片和灯饰芯片；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•支持静态屏-64扫之间的任意扫描类型；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•支持任意抽点，支持数据偏移，可轻松实现各种异型屏、球形屏、创意显示屏；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•单卡支持16组RGB信号输出；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•支持超大带载面积，单卡带载128*512，256*256；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•支持DC 3.8V~5.5V超宽工作电压，有效减弱电压波动带来的影响；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•中标后提供厂家售后服务承诺书原件；</w:t>
            </w:r>
          </w:p>
          <w:p w14:paraId="4FE04B5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•支持8bit视频输入。</w:t>
            </w:r>
          </w:p>
          <w:p w14:paraId="6CE7A6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•固件程序回读，支持可以回读接收卡的固件程序并保存到本地；需提供具有CMA、CNAS、ilac-MRA认证标识的第三方厂家检测报告，并加盖供应商鲜章；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•支持电源防反接设计；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•支持低灰校正，解决小间距箱体在已有亮度校正基础下低灰阶存在色块的问题，对低灰阶进行补偿，独立于亮色度校正。</w:t>
            </w:r>
          </w:p>
          <w:p w14:paraId="41BE0C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•控制系统具有修缝、十字修复功能。并提供供应商盖鲜章的LED显示屏十字修复软件著作权证书及LED显示屏专业修缝软件著作证书两种证明文件。</w:t>
            </w:r>
          </w:p>
          <w:p w14:paraId="337A501A">
            <w:pPr>
              <w:pStyle w:val="7"/>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根据LED屏实际配置。</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0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1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E6C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35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3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p>
        </w:tc>
        <w:tc>
          <w:tcPr>
            <w:tcW w:w="2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49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支持数字信号接口，包括但不限于1路SDI，1路HDMI，2路DVI；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•最大输入分辨率不低于1920*1200@60Hz，支持分辨率任意设置；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•最大带载不低于390万像素，最宽可达8192点，或最高可达4096点；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•支持视频源任意切换，任意缩放；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•支持三画面显示，位置、大小可自由调节；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•支持HDCP高带宽数字内容保护技术；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•双USB2.0高速通讯接口，用于电脑调试和主控间任意级联；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•支持亮度和色温调节；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•支持低亮高灰；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•在-20°C-65°C下，控制器所有功能打开且参数设置到最大依然能正常工作，一直连续开断电处理，控制器依然可以正常启动工作， 机箱结构配合散热风扇达到很好的扇热效果，需提供具有CMA、CNAS、ilac-MRA认证标识的第三方厂家检测报告，并加盖供应商公章；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•为防止他人误操作，控制系统具有管理权限，并提供供应商盖公章的显示屏授权管理软件著作权证书证明文件；</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3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6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513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33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3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工程布线</w:t>
            </w:r>
          </w:p>
        </w:tc>
        <w:tc>
          <w:tcPr>
            <w:tcW w:w="2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BD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电源线从电箱输出到屏体(RVV6mm²)、网线从强电间输出到屏体（7根，其中1根为备用线）</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7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D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22D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41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8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w:t>
            </w:r>
          </w:p>
        </w:tc>
        <w:tc>
          <w:tcPr>
            <w:tcW w:w="2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20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专业LED显示屏安装调试、含人工安装运输调试费+运输费用</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2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12.29</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2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bl>
    <w:p w14:paraId="77790EAC">
      <w:pPr>
        <w:pStyle w:val="3"/>
        <w:spacing w:before="0" w:after="0" w:line="360" w:lineRule="auto"/>
        <w:rPr>
          <w:rFonts w:hint="eastAsia" w:ascii="Times New Roman" w:hAnsi="Times New Roman" w:eastAsia="宋体"/>
          <w:b/>
          <w:bCs/>
          <w:kern w:val="0"/>
          <w:sz w:val="28"/>
          <w:szCs w:val="22"/>
        </w:rPr>
      </w:pPr>
      <w:r>
        <w:rPr>
          <w:rFonts w:hint="eastAsia"/>
          <w:szCs w:val="32"/>
        </w:rPr>
        <w:t xml:space="preserve">   </w:t>
      </w:r>
      <w:r>
        <w:rPr>
          <w:rFonts w:hint="eastAsia" w:ascii="黑体" w:hAnsi="黑体" w:eastAsia="黑体"/>
          <w:szCs w:val="32"/>
        </w:rPr>
        <w:t xml:space="preserve"> </w:t>
      </w:r>
    </w:p>
    <w:p w14:paraId="7A18BE8B">
      <w:pPr>
        <w:pStyle w:val="3"/>
        <w:spacing w:before="0" w:after="0" w:line="360" w:lineRule="auto"/>
        <w:ind w:firstLine="320" w:firstLineChars="100"/>
        <w:rPr>
          <w:rFonts w:hint="eastAsia" w:ascii="仿宋_GB2312" w:hAnsi="楷体" w:eastAsia="仿宋_GB2312" w:cs="MingLiU"/>
          <w:b w:val="0"/>
          <w:iCs/>
          <w:kern w:val="0"/>
          <w:sz w:val="32"/>
          <w:szCs w:val="32"/>
          <w:lang w:val="zh-CN" w:eastAsia="zh-CN" w:bidi="zh-CN"/>
        </w:rPr>
      </w:pPr>
      <w:r>
        <w:rPr>
          <w:rFonts w:hint="eastAsia" w:ascii="仿宋_GB2312" w:hAnsi="楷体" w:eastAsia="仿宋_GB2312" w:cs="MingLiU"/>
          <w:b w:val="0"/>
          <w:iCs/>
          <w:kern w:val="0"/>
          <w:sz w:val="32"/>
          <w:szCs w:val="32"/>
          <w:lang w:val="zh-CN" w:eastAsia="zh-CN" w:bidi="zh-CN"/>
        </w:rPr>
        <w:t>（</w:t>
      </w:r>
      <w:r>
        <w:rPr>
          <w:rFonts w:hint="eastAsia" w:ascii="仿宋_GB2312" w:hAnsi="楷体" w:eastAsia="仿宋_GB2312" w:cs="MingLiU"/>
          <w:b w:val="0"/>
          <w:iCs/>
          <w:kern w:val="0"/>
          <w:sz w:val="32"/>
          <w:szCs w:val="32"/>
          <w:lang w:val="en-US" w:eastAsia="zh-CN" w:bidi="zh-CN"/>
        </w:rPr>
        <w:t>三</w:t>
      </w:r>
      <w:r>
        <w:rPr>
          <w:rFonts w:hint="eastAsia" w:ascii="仿宋_GB2312" w:hAnsi="楷体" w:eastAsia="仿宋_GB2312" w:cs="MingLiU"/>
          <w:b w:val="0"/>
          <w:iCs/>
          <w:kern w:val="0"/>
          <w:sz w:val="32"/>
          <w:szCs w:val="32"/>
          <w:lang w:val="zh-CN" w:eastAsia="zh-CN" w:bidi="zh-CN"/>
        </w:rPr>
        <w:t>）、建设周期</w:t>
      </w:r>
    </w:p>
    <w:p w14:paraId="2E53A839">
      <w:pPr>
        <w:pStyle w:val="7"/>
        <w:spacing w:after="0"/>
        <w:ind w:firstLine="420"/>
        <w:rPr>
          <w:rFonts w:hint="eastAsia" w:ascii="仿宋_GB2312" w:hAnsi="楷体" w:eastAsia="仿宋_GB2312" w:cs="MingLiU"/>
          <w:b w:val="0"/>
          <w:iCs/>
          <w:kern w:val="0"/>
          <w:sz w:val="32"/>
          <w:szCs w:val="32"/>
          <w:lang w:val="zh-CN" w:eastAsia="zh-CN" w:bidi="zh-CN"/>
        </w:rPr>
      </w:pPr>
      <w:r>
        <w:rPr>
          <w:rFonts w:hint="eastAsia" w:ascii="仿宋_GB2312" w:hAnsi="楷体" w:eastAsia="仿宋_GB2312" w:cs="MingLiU"/>
          <w:b w:val="0"/>
          <w:iCs/>
          <w:kern w:val="0"/>
          <w:sz w:val="32"/>
          <w:szCs w:val="32"/>
          <w:lang w:val="zh-CN" w:eastAsia="zh-CN" w:bidi="zh-CN"/>
        </w:rPr>
        <w:t>项目建设</w:t>
      </w:r>
      <w:r>
        <w:rPr>
          <w:rFonts w:hint="eastAsia" w:ascii="仿宋_GB2312" w:hAnsi="楷体" w:eastAsia="仿宋_GB2312" w:cs="MingLiU"/>
          <w:b w:val="0"/>
          <w:iCs/>
          <w:kern w:val="0"/>
          <w:sz w:val="32"/>
          <w:szCs w:val="32"/>
          <w:lang w:val="en-US" w:eastAsia="zh-CN" w:bidi="zh-CN"/>
        </w:rPr>
        <w:t>自合同签订之日起3</w:t>
      </w:r>
      <w:r>
        <w:rPr>
          <w:rFonts w:hint="eastAsia" w:ascii="仿宋_GB2312" w:hAnsi="楷体" w:eastAsia="仿宋_GB2312" w:cs="MingLiU"/>
          <w:b w:val="0"/>
          <w:iCs/>
          <w:kern w:val="0"/>
          <w:sz w:val="32"/>
          <w:szCs w:val="32"/>
          <w:lang w:val="zh-CN" w:eastAsia="zh-CN" w:bidi="zh-CN"/>
        </w:rPr>
        <w:t>天</w:t>
      </w:r>
      <w:r>
        <w:rPr>
          <w:rFonts w:hint="eastAsia" w:ascii="仿宋_GB2312" w:hAnsi="楷体" w:eastAsia="仿宋_GB2312" w:cs="MingLiU"/>
          <w:b w:val="0"/>
          <w:iCs/>
          <w:kern w:val="0"/>
          <w:sz w:val="32"/>
          <w:szCs w:val="32"/>
          <w:lang w:val="en-US" w:eastAsia="zh-CN" w:bidi="zh-CN"/>
        </w:rPr>
        <w:t>完成安装调试</w:t>
      </w:r>
      <w:r>
        <w:rPr>
          <w:rFonts w:hint="eastAsia" w:ascii="仿宋_GB2312" w:hAnsi="楷体" w:eastAsia="仿宋_GB2312" w:cs="MingLiU"/>
          <w:b w:val="0"/>
          <w:iCs/>
          <w:kern w:val="0"/>
          <w:sz w:val="32"/>
          <w:szCs w:val="32"/>
          <w:lang w:val="zh-CN" w:eastAsia="zh-CN" w:bidi="zh-CN"/>
        </w:rPr>
        <w:t>。</w:t>
      </w:r>
    </w:p>
    <w:p w14:paraId="475D5D90">
      <w:pPr>
        <w:numPr>
          <w:ilvl w:val="0"/>
          <w:numId w:val="5"/>
        </w:numPr>
        <w:spacing w:after="360" w:line="276" w:lineRule="auto"/>
        <w:ind w:firstLine="320" w:firstLineChars="100"/>
        <w:jc w:val="left"/>
        <w:rPr>
          <w:rFonts w:hint="default" w:ascii="仿宋_GB2312" w:hAnsi="楷体" w:eastAsia="仿宋_GB2312" w:cs="MingLiU"/>
          <w:b w:val="0"/>
          <w:iCs/>
          <w:kern w:val="0"/>
          <w:sz w:val="32"/>
          <w:szCs w:val="32"/>
          <w:lang w:val="en-US" w:eastAsia="zh-CN" w:bidi="zh-CN"/>
        </w:rPr>
      </w:pPr>
      <w:r>
        <w:rPr>
          <w:rFonts w:hint="eastAsia" w:ascii="仿宋_GB2312" w:hAnsi="楷体" w:eastAsia="仿宋_GB2312" w:cs="MingLiU"/>
          <w:b w:val="0"/>
          <w:iCs/>
          <w:kern w:val="0"/>
          <w:sz w:val="32"/>
          <w:szCs w:val="32"/>
          <w:lang w:val="zh-CN" w:eastAsia="zh-CN" w:bidi="zh-CN"/>
        </w:rPr>
        <w:t>、可能涉及的运行维护、升级更新、备品备件、耗材等后续采购情况。</w:t>
      </w:r>
    </w:p>
    <w:p w14:paraId="24C19958">
      <w:pPr>
        <w:numPr>
          <w:ilvl w:val="0"/>
          <w:numId w:val="0"/>
        </w:numPr>
        <w:spacing w:after="360" w:line="276" w:lineRule="auto"/>
        <w:ind w:firstLine="640" w:firstLineChars="200"/>
        <w:jc w:val="left"/>
        <w:rPr>
          <w:rFonts w:hint="default" w:ascii="仿宋_GB2312" w:hAnsi="楷体" w:eastAsia="仿宋_GB2312" w:cs="MingLiU"/>
          <w:b w:val="0"/>
          <w:iCs/>
          <w:kern w:val="0"/>
          <w:sz w:val="32"/>
          <w:szCs w:val="32"/>
          <w:lang w:val="en-US" w:eastAsia="zh-CN" w:bidi="zh-CN"/>
        </w:rPr>
      </w:pPr>
      <w:r>
        <w:rPr>
          <w:rFonts w:hint="eastAsia" w:ascii="仿宋_GB2312" w:hAnsi="楷体" w:eastAsia="仿宋_GB2312" w:cs="MingLiU"/>
          <w:b w:val="0"/>
          <w:iCs/>
          <w:kern w:val="0"/>
          <w:sz w:val="32"/>
          <w:szCs w:val="32"/>
          <w:lang w:val="en-US" w:eastAsia="zh-CN" w:bidi="zh-CN"/>
        </w:rPr>
        <w:t>本项目整体维保五年，所有配件、耗材、</w:t>
      </w:r>
      <w:r>
        <w:rPr>
          <w:rFonts w:hint="eastAsia" w:ascii="仿宋_GB2312" w:hAnsi="楷体" w:eastAsia="仿宋_GB2312" w:cs="MingLiU"/>
          <w:b w:val="0"/>
          <w:iCs/>
          <w:kern w:val="0"/>
          <w:sz w:val="32"/>
          <w:szCs w:val="32"/>
          <w:lang w:val="zh-CN" w:eastAsia="zh-CN" w:bidi="zh-CN"/>
        </w:rPr>
        <w:t>系统操作培训、</w:t>
      </w:r>
      <w:r>
        <w:rPr>
          <w:rFonts w:hint="eastAsia" w:ascii="仿宋_GB2312" w:hAnsi="楷体" w:eastAsia="仿宋_GB2312" w:cs="MingLiU"/>
          <w:b w:val="0"/>
          <w:iCs/>
          <w:kern w:val="0"/>
          <w:sz w:val="32"/>
          <w:szCs w:val="32"/>
          <w:lang w:val="en-US" w:eastAsia="zh-CN" w:bidi="zh-CN"/>
        </w:rPr>
        <w:t>软件维保期系统升级以及维修备件和上门安装维修费均含在投标总价中。</w:t>
      </w:r>
    </w:p>
    <w:p w14:paraId="45EBE0F9">
      <w:pPr>
        <w:pStyle w:val="7"/>
        <w:spacing w:after="0"/>
        <w:ind w:firstLine="420"/>
        <w:rPr>
          <w:rFonts w:hint="eastAsia" w:ascii="仿宋_GB2312" w:hAnsi="楷体" w:eastAsia="仿宋_GB2312" w:cs="MingLiU"/>
          <w:b w:val="0"/>
          <w:iCs/>
          <w:kern w:val="0"/>
          <w:sz w:val="32"/>
          <w:szCs w:val="32"/>
          <w:lang w:val="zh-CN" w:eastAsia="zh-CN" w:bidi="zh-CN"/>
        </w:rPr>
      </w:pPr>
      <w:r>
        <w:rPr>
          <w:rFonts w:hint="eastAsia" w:ascii="仿宋_GB2312" w:hAnsi="楷体" w:eastAsia="仿宋_GB2312" w:cs="MingLiU"/>
          <w:b w:val="0"/>
          <w:iCs/>
          <w:kern w:val="0"/>
          <w:sz w:val="32"/>
          <w:szCs w:val="32"/>
          <w:lang w:val="zh-CN" w:eastAsia="zh-CN" w:bidi="zh-CN"/>
        </w:rPr>
        <w:t>（五）、付款方式</w:t>
      </w:r>
    </w:p>
    <w:p w14:paraId="7EA9068D">
      <w:pPr>
        <w:pStyle w:val="7"/>
        <w:spacing w:after="0"/>
        <w:ind w:firstLine="420"/>
        <w:rPr>
          <w:rFonts w:hint="eastAsia" w:ascii="仿宋_GB2312" w:hAnsi="楷体" w:eastAsia="仿宋_GB2312" w:cs="MingLiU"/>
          <w:b w:val="0"/>
          <w:iCs/>
          <w:kern w:val="0"/>
          <w:sz w:val="32"/>
          <w:szCs w:val="32"/>
          <w:lang w:val="en-US" w:eastAsia="zh-CN" w:bidi="zh-CN"/>
        </w:rPr>
      </w:pPr>
      <w:r>
        <w:rPr>
          <w:rFonts w:hint="eastAsia" w:ascii="仿宋_GB2312" w:hAnsi="楷体" w:eastAsia="仿宋_GB2312" w:cs="MingLiU"/>
          <w:b w:val="0"/>
          <w:iCs/>
          <w:kern w:val="0"/>
          <w:sz w:val="32"/>
          <w:szCs w:val="32"/>
          <w:lang w:val="en-US" w:eastAsia="zh-CN" w:bidi="zh-CN"/>
        </w:rPr>
        <w:t>合同签订，项目安装验收使用满一个月，采购人收到发票后支付合同总价款的90%；</w:t>
      </w:r>
    </w:p>
    <w:p w14:paraId="4F6C3F3B">
      <w:pPr>
        <w:pStyle w:val="7"/>
        <w:spacing w:after="0"/>
        <w:ind w:firstLine="420"/>
        <w:rPr>
          <w:rFonts w:hint="eastAsia" w:ascii="仿宋_GB2312" w:eastAsia="仿宋_GB2312"/>
          <w:sz w:val="32"/>
          <w:szCs w:val="32"/>
        </w:rPr>
      </w:pPr>
      <w:r>
        <w:rPr>
          <w:rFonts w:hint="eastAsia" w:ascii="仿宋_GB2312" w:hAnsi="楷体" w:eastAsia="仿宋_GB2312" w:cs="MingLiU"/>
          <w:b w:val="0"/>
          <w:iCs/>
          <w:kern w:val="0"/>
          <w:sz w:val="32"/>
          <w:szCs w:val="32"/>
          <w:lang w:val="zh-CN" w:eastAsia="zh-CN" w:bidi="zh-CN"/>
        </w:rPr>
        <w:t>第</w:t>
      </w:r>
      <w:r>
        <w:rPr>
          <w:rFonts w:hint="eastAsia" w:ascii="仿宋_GB2312" w:hAnsi="楷体" w:eastAsia="仿宋_GB2312" w:cs="MingLiU"/>
          <w:b w:val="0"/>
          <w:iCs/>
          <w:kern w:val="0"/>
          <w:sz w:val="32"/>
          <w:szCs w:val="32"/>
          <w:lang w:val="en-US" w:eastAsia="zh-CN" w:bidi="zh-CN"/>
        </w:rPr>
        <w:t>三</w:t>
      </w:r>
      <w:r>
        <w:rPr>
          <w:rFonts w:hint="eastAsia" w:ascii="仿宋_GB2312" w:hAnsi="楷体" w:eastAsia="仿宋_GB2312" w:cs="MingLiU"/>
          <w:b w:val="0"/>
          <w:iCs/>
          <w:kern w:val="0"/>
          <w:sz w:val="32"/>
          <w:szCs w:val="32"/>
          <w:lang w:val="zh-CN" w:eastAsia="zh-CN" w:bidi="zh-CN"/>
        </w:rPr>
        <w:t>年维保期结束后无质量及售后服务及其他法律纠纷问题的，余款一次性付清（不计利息）</w:t>
      </w:r>
      <w:r>
        <w:rPr>
          <w:rFonts w:hint="eastAsia" w:ascii="宋体" w:hAnsi="宋体" w:cs="宋体"/>
          <w:color w:val="auto"/>
          <w:szCs w:val="21"/>
        </w:rPr>
        <w:t>。</w:t>
      </w:r>
      <w:r>
        <w:rPr>
          <w:rFonts w:hint="eastAsia" w:ascii="仿宋_GB2312" w:eastAsia="仿宋_GB2312"/>
          <w:sz w:val="32"/>
          <w:szCs w:val="32"/>
        </w:rPr>
        <w:t xml:space="preserve"> </w:t>
      </w:r>
    </w:p>
    <w:p w14:paraId="5E6F9888">
      <w:pPr>
        <w:rPr>
          <w:rFonts w:hint="eastAsia"/>
          <w:lang w:val="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6B3F9"/>
    <w:multiLevelType w:val="singleLevel"/>
    <w:tmpl w:val="D356B3F9"/>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5"/>
      <w:suff w:val="space"/>
      <w:lvlText w:val="%1."/>
      <w:lvlJc w:val="left"/>
      <w:pPr>
        <w:ind w:left="1200" w:hanging="360"/>
      </w:pPr>
      <w:rPr>
        <w:rFonts w:hint="eastAsia"/>
      </w:rPr>
    </w:lvl>
  </w:abstractNum>
  <w:abstractNum w:abstractNumId="2">
    <w:nsid w:val="4671E6D9"/>
    <w:multiLevelType w:val="singleLevel"/>
    <w:tmpl w:val="4671E6D9"/>
    <w:lvl w:ilvl="0" w:tentative="0">
      <w:start w:val="2"/>
      <w:numFmt w:val="chineseCounting"/>
      <w:suff w:val="nothing"/>
      <w:lvlText w:val="（%1）"/>
      <w:lvlJc w:val="left"/>
      <w:rPr>
        <w:rFonts w:hint="eastAsia"/>
      </w:rPr>
    </w:lvl>
  </w:abstractNum>
  <w:abstractNum w:abstractNumId="3">
    <w:nsid w:val="5ABAAAE0"/>
    <w:multiLevelType w:val="singleLevel"/>
    <w:tmpl w:val="5ABAAAE0"/>
    <w:lvl w:ilvl="0" w:tentative="0">
      <w:start w:val="2"/>
      <w:numFmt w:val="decimal"/>
      <w:suff w:val="nothing"/>
      <w:lvlText w:val="%1、"/>
      <w:lvlJc w:val="left"/>
    </w:lvl>
  </w:abstractNum>
  <w:abstractNum w:abstractNumId="4">
    <w:nsid w:val="5E919FFF"/>
    <w:multiLevelType w:val="singleLevel"/>
    <w:tmpl w:val="5E919FF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OWQ4MzUwNmE0ZjNmYjQzZDhmZmNkOTEwNTYzMDMifQ=="/>
  </w:docVars>
  <w:rsids>
    <w:rsidRoot w:val="00B27E64"/>
    <w:rsid w:val="00000B3D"/>
    <w:rsid w:val="0017500A"/>
    <w:rsid w:val="00203D2D"/>
    <w:rsid w:val="0023284E"/>
    <w:rsid w:val="002E06B6"/>
    <w:rsid w:val="0032148B"/>
    <w:rsid w:val="003F1090"/>
    <w:rsid w:val="006360F5"/>
    <w:rsid w:val="006B42C0"/>
    <w:rsid w:val="006B4732"/>
    <w:rsid w:val="006C34AF"/>
    <w:rsid w:val="00711E64"/>
    <w:rsid w:val="0087525B"/>
    <w:rsid w:val="0093601C"/>
    <w:rsid w:val="00976C21"/>
    <w:rsid w:val="009C3B1A"/>
    <w:rsid w:val="009C7138"/>
    <w:rsid w:val="00AA1AEB"/>
    <w:rsid w:val="00B27E64"/>
    <w:rsid w:val="00B501A4"/>
    <w:rsid w:val="00B849B2"/>
    <w:rsid w:val="00C42C87"/>
    <w:rsid w:val="00CC3B1A"/>
    <w:rsid w:val="00D43B63"/>
    <w:rsid w:val="00E34749"/>
    <w:rsid w:val="00EA519B"/>
    <w:rsid w:val="00F95DE5"/>
    <w:rsid w:val="03C2759E"/>
    <w:rsid w:val="05143E2A"/>
    <w:rsid w:val="0A9A6B7F"/>
    <w:rsid w:val="0F2C1D70"/>
    <w:rsid w:val="10A357D8"/>
    <w:rsid w:val="16EF2001"/>
    <w:rsid w:val="1AEB2C38"/>
    <w:rsid w:val="1B4F5C5A"/>
    <w:rsid w:val="1C9A10CA"/>
    <w:rsid w:val="21352D06"/>
    <w:rsid w:val="2217240B"/>
    <w:rsid w:val="223C1E72"/>
    <w:rsid w:val="27A74EBE"/>
    <w:rsid w:val="28F039B6"/>
    <w:rsid w:val="29C72969"/>
    <w:rsid w:val="30193580"/>
    <w:rsid w:val="324C4353"/>
    <w:rsid w:val="3E2C06D0"/>
    <w:rsid w:val="473867FC"/>
    <w:rsid w:val="4A547680"/>
    <w:rsid w:val="50E845E4"/>
    <w:rsid w:val="51B31980"/>
    <w:rsid w:val="53BA6F17"/>
    <w:rsid w:val="542335E9"/>
    <w:rsid w:val="55501F98"/>
    <w:rsid w:val="55C53951"/>
    <w:rsid w:val="57861F01"/>
    <w:rsid w:val="582C1B97"/>
    <w:rsid w:val="59CC52AE"/>
    <w:rsid w:val="5B0A275B"/>
    <w:rsid w:val="5B173159"/>
    <w:rsid w:val="5C8D77D5"/>
    <w:rsid w:val="5DD67D6A"/>
    <w:rsid w:val="5FAC1EBE"/>
    <w:rsid w:val="5FC51C21"/>
    <w:rsid w:val="6131633F"/>
    <w:rsid w:val="662566D8"/>
    <w:rsid w:val="67A1525D"/>
    <w:rsid w:val="6B5C220A"/>
    <w:rsid w:val="700C71B2"/>
    <w:rsid w:val="70CB230C"/>
    <w:rsid w:val="71071F35"/>
    <w:rsid w:val="71C07997"/>
    <w:rsid w:val="733F500C"/>
    <w:rsid w:val="774B07A1"/>
    <w:rsid w:val="7CC9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tabs>
        <w:tab w:val="left" w:pos="360"/>
        <w:tab w:val="left" w:pos="1145"/>
      </w:tabs>
      <w:spacing w:before="260" w:after="260" w:line="416" w:lineRule="auto"/>
      <w:outlineLvl w:val="1"/>
    </w:pPr>
    <w:rPr>
      <w:rFonts w:ascii="Arial" w:hAnsi="Arial" w:eastAsia="仿宋"/>
      <w:b/>
      <w:kern w:val="2"/>
      <w:sz w:val="32"/>
      <w:szCs w:val="20"/>
    </w:rPr>
  </w:style>
  <w:style w:type="paragraph" w:styleId="5">
    <w:name w:val="heading 3"/>
    <w:basedOn w:val="1"/>
    <w:next w:val="4"/>
    <w:qFormat/>
    <w:uiPriority w:val="0"/>
    <w:pPr>
      <w:keepNext/>
      <w:keepLines/>
      <w:numPr>
        <w:ilvl w:val="0"/>
        <w:numId w:val="1"/>
      </w:numPr>
      <w:tabs>
        <w:tab w:val="left" w:pos="2651"/>
      </w:tabs>
      <w:outlineLvl w:val="2"/>
    </w:pPr>
    <w:rPr>
      <w:rFonts w:eastAsia="黑体"/>
      <w:b/>
      <w:kern w:val="2"/>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szCs w:val="22"/>
    </w:rPr>
  </w:style>
  <w:style w:type="paragraph" w:styleId="4">
    <w:name w:val="Normal Indent"/>
    <w:basedOn w:val="1"/>
    <w:semiHidden/>
    <w:unhideWhenUsed/>
    <w:qFormat/>
    <w:uiPriority w:val="99"/>
    <w:pPr>
      <w:ind w:firstLine="420" w:firstLineChars="200"/>
    </w:pPr>
  </w:style>
  <w:style w:type="paragraph" w:styleId="6">
    <w:name w:val="caption"/>
    <w:basedOn w:val="1"/>
    <w:next w:val="1"/>
    <w:qFormat/>
    <w:uiPriority w:val="35"/>
    <w:rPr>
      <w:rFonts w:ascii="等线 Light" w:hAnsi="等线 Light" w:eastAsia="黑体"/>
      <w:sz w:val="20"/>
      <w:szCs w:val="20"/>
    </w:rPr>
  </w:style>
  <w:style w:type="paragraph" w:styleId="7">
    <w:name w:val="Body Text"/>
    <w:basedOn w:val="1"/>
    <w:next w:val="1"/>
    <w:unhideWhenUsed/>
    <w:qFormat/>
    <w:uiPriority w:val="99"/>
    <w:pPr>
      <w:spacing w:after="120"/>
    </w:p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0"/>
    <w:rPr>
      <w:kern w:val="2"/>
      <w:sz w:val="18"/>
      <w:szCs w:val="18"/>
    </w:rPr>
  </w:style>
  <w:style w:type="character" w:customStyle="1" w:styleId="13">
    <w:name w:val="页脚 Char"/>
    <w:basedOn w:val="11"/>
    <w:link w:val="8"/>
    <w:qFormat/>
    <w:uiPriority w:val="0"/>
    <w:rPr>
      <w:kern w:val="2"/>
      <w:sz w:val="18"/>
      <w:szCs w:val="18"/>
    </w:rPr>
  </w:style>
  <w:style w:type="character" w:customStyle="1" w:styleId="14">
    <w:name w:val="font31"/>
    <w:basedOn w:val="11"/>
    <w:qFormat/>
    <w:uiPriority w:val="0"/>
    <w:rPr>
      <w:rFonts w:hint="eastAsia" w:ascii="微软雅黑" w:hAnsi="微软雅黑" w:eastAsia="微软雅黑" w:cs="微软雅黑"/>
      <w:b/>
      <w:bCs/>
      <w:color w:val="000000"/>
      <w:sz w:val="20"/>
      <w:szCs w:val="20"/>
      <w:u w:val="none"/>
    </w:rPr>
  </w:style>
  <w:style w:type="character" w:customStyle="1" w:styleId="15">
    <w:name w:val="font11"/>
    <w:basedOn w:val="11"/>
    <w:qFormat/>
    <w:uiPriority w:val="0"/>
    <w:rPr>
      <w:rFonts w:hint="eastAsia" w:ascii="微软雅黑" w:hAnsi="微软雅黑" w:eastAsia="微软雅黑" w:cs="微软雅黑"/>
      <w:color w:val="000000"/>
      <w:sz w:val="20"/>
      <w:szCs w:val="20"/>
      <w:u w:val="none"/>
    </w:rPr>
  </w:style>
  <w:style w:type="character" w:customStyle="1" w:styleId="16">
    <w:name w:val="font21"/>
    <w:basedOn w:val="11"/>
    <w:qFormat/>
    <w:uiPriority w:val="0"/>
    <w:rPr>
      <w:rFonts w:hint="eastAsia" w:ascii="微软雅黑" w:hAnsi="微软雅黑" w:eastAsia="微软雅黑" w:cs="微软雅黑"/>
      <w:b/>
      <w:bCs/>
      <w:color w:val="000000"/>
      <w:sz w:val="20"/>
      <w:szCs w:val="20"/>
      <w:u w:val="none"/>
    </w:rPr>
  </w:style>
  <w:style w:type="character" w:customStyle="1" w:styleId="17">
    <w:name w:val="font51"/>
    <w:basedOn w:val="1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3120</Words>
  <Characters>3721</Characters>
  <Lines>4</Lines>
  <Paragraphs>1</Paragraphs>
  <TotalTime>17</TotalTime>
  <ScaleCrop>false</ScaleCrop>
  <LinksUpToDate>false</LinksUpToDate>
  <CharactersWithSpaces>4062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2022-04-24T06:34:00Z</dcterms:created>
  <dc:creator>Administrator</dc:creator>
  <cp:lastModifiedBy>洪三银</cp:lastModifiedBy>
  <dcterms:modified xsi:type="dcterms:W3CDTF">2025-05-09T09:05:45Z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commondata">
    <vt:lpwstr>eyJoZGlkIjoiMDZmZjFmYWIyZjA0MmMwODU1YjliNDAwNDU1MGY5NDEifQ==</vt:lpwstr>
  </property>
  <property fmtid="{D5CDD505-2E9C-101B-9397-08002B2CF9AE}" pid="4" name="ICV">
    <vt:lpwstr>51D0FAE3520442B59FFE0C655718DB2A_13</vt:lpwstr>
  </property>
  <property fmtid="{D5CDD505-2E9C-101B-9397-08002B2CF9AE}" pid="5" name="KSOTemplateDocerSaveRecord">
    <vt:lpwstr>eyJoZGlkIjoiNWFlN2ExYmVmMmY1YjE5ZjhkZWNmYTgzOTI0Yzk1ZmMiLCJ1c2VySWQiOiIxNTc4MDQ1MjYyIn0=</vt:lpwstr>
  </property>
</Properties>
</file>