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D8B0F">
      <w:pPr>
        <w:keepNext/>
        <w:keepLines/>
        <w:spacing w:after="280"/>
        <w:ind w:left="1925" w:leftChars="152" w:hanging="1606" w:hangingChars="500"/>
        <w:outlineLvl w:val="1"/>
        <w:rPr>
          <w:rFonts w:ascii="仿宋_GB2312" w:hAnsi="仿宋" w:eastAsia="仿宋_GB2312" w:cs="MingLiU"/>
          <w:b/>
          <w:bCs/>
          <w:color w:val="000000"/>
          <w:kern w:val="0"/>
          <w:sz w:val="32"/>
          <w:szCs w:val="32"/>
          <w:lang w:val="zh-CN" w:bidi="zh-CN"/>
        </w:rPr>
      </w:pPr>
      <w:bookmarkStart w:id="0" w:name="bookmark4"/>
      <w:bookmarkStart w:id="1" w:name="bookmark5"/>
      <w:r>
        <w:rPr>
          <w:rFonts w:hint="eastAsia" w:ascii="仿宋_GB2312" w:hAnsi="仿宋" w:eastAsia="仿宋_GB2312" w:cs="MingLiU"/>
          <w:b/>
          <w:bCs/>
          <w:kern w:val="0"/>
          <w:sz w:val="32"/>
          <w:szCs w:val="32"/>
          <w:lang w:val="zh-CN" w:bidi="zh-CN"/>
        </w:rPr>
        <w:t>会计制度财务管理软件、医院预算控制管理信息系统、医院全成本管理系统的维保服</w:t>
      </w:r>
      <w:r>
        <w:rPr>
          <w:rFonts w:hint="eastAsia" w:ascii="仿宋_GB2312" w:hAnsi="仿宋" w:eastAsia="仿宋_GB2312" w:cs="MingLiU"/>
          <w:b/>
          <w:bCs/>
          <w:kern w:val="0"/>
          <w:sz w:val="32"/>
          <w:szCs w:val="32"/>
          <w:lang w:val="en-US" w:bidi="zh-CN"/>
        </w:rPr>
        <w:t>务采购</w:t>
      </w:r>
      <w:r>
        <w:rPr>
          <w:rFonts w:hint="eastAsia" w:ascii="仿宋_GB2312" w:hAnsi="仿宋" w:eastAsia="仿宋_GB2312" w:cs="MingLiU"/>
          <w:b/>
          <w:bCs/>
          <w:color w:val="000000"/>
          <w:kern w:val="0"/>
          <w:sz w:val="32"/>
          <w:szCs w:val="32"/>
          <w:lang w:val="zh-CN" w:bidi="zh-CN"/>
        </w:rPr>
        <w:t>需求</w:t>
      </w:r>
      <w:bookmarkEnd w:id="0"/>
      <w:bookmarkEnd w:id="1"/>
    </w:p>
    <w:p w14:paraId="59ECB6EF">
      <w:pPr>
        <w:tabs>
          <w:tab w:val="left" w:leader="underscore" w:pos="3336"/>
        </w:tabs>
        <w:spacing w:after="160"/>
        <w:ind w:firstLine="1600" w:firstLineChars="500"/>
        <w:jc w:val="left"/>
        <w:rPr>
          <w:rFonts w:ascii="仿宋_GB2312" w:hAnsi="仿宋" w:eastAsia="仿宋_GB2312" w:cs="MingLiU"/>
          <w:color w:val="000000"/>
          <w:kern w:val="0"/>
          <w:sz w:val="32"/>
          <w:szCs w:val="32"/>
          <w:lang w:val="zh-CN" w:bidi="zh-CN"/>
        </w:rPr>
      </w:pPr>
    </w:p>
    <w:p w14:paraId="6932CBA8">
      <w:pPr>
        <w:spacing w:after="120" w:line="276" w:lineRule="auto"/>
        <w:ind w:firstLine="321" w:firstLineChars="100"/>
        <w:rPr>
          <w:rFonts w:ascii="仿宋_GB2312" w:hAnsi="黑体" w:eastAsia="仿宋_GB2312" w:cs="MingLiU"/>
          <w:b/>
          <w:kern w:val="0"/>
          <w:sz w:val="32"/>
          <w:szCs w:val="32"/>
          <w:lang w:val="zh-CN" w:bidi="zh-CN"/>
        </w:rPr>
      </w:pPr>
      <w:r>
        <w:rPr>
          <w:rFonts w:hint="eastAsia" w:ascii="仿宋_GB2312" w:hAnsi="黑体" w:eastAsia="仿宋_GB2312" w:cs="MingLiU"/>
          <w:b/>
          <w:kern w:val="0"/>
          <w:sz w:val="32"/>
          <w:szCs w:val="32"/>
          <w:lang w:val="zh-CN" w:bidi="zh-CN"/>
        </w:rPr>
        <w:t>项目需求预（概）算</w:t>
      </w:r>
    </w:p>
    <w:p w14:paraId="5CBBEE41">
      <w:pPr>
        <w:spacing w:after="360" w:line="276" w:lineRule="auto"/>
        <w:ind w:firstLine="160" w:firstLineChars="50"/>
        <w:jc w:val="left"/>
        <w:rPr>
          <w:rFonts w:ascii="仿宋_GB2312" w:hAnsi="楷体" w:eastAsia="仿宋_GB2312" w:cs="MingLiU"/>
          <w:iCs/>
          <w:kern w:val="0"/>
          <w:sz w:val="32"/>
          <w:szCs w:val="32"/>
          <w:lang w:val="zh-CN" w:bidi="zh-CN"/>
        </w:rPr>
      </w:pPr>
      <w:r>
        <w:rPr>
          <w:rFonts w:hint="eastAsia" w:ascii="仿宋_GB2312" w:hAnsi="楷体" w:eastAsia="仿宋_GB2312" w:cs="MingLiU"/>
          <w:iCs/>
          <w:kern w:val="0"/>
          <w:sz w:val="32"/>
          <w:szCs w:val="32"/>
          <w:lang w:val="zh-CN" w:bidi="zh-CN"/>
        </w:rPr>
        <w:t>采购项目：</w:t>
      </w:r>
    </w:p>
    <w:tbl>
      <w:tblPr>
        <w:tblStyle w:val="8"/>
        <w:tblW w:w="4853" w:type="pct"/>
        <w:jc w:val="center"/>
        <w:tblLayout w:type="autofit"/>
        <w:tblCellMar>
          <w:top w:w="0" w:type="dxa"/>
          <w:left w:w="10" w:type="dxa"/>
          <w:bottom w:w="0" w:type="dxa"/>
          <w:right w:w="10" w:type="dxa"/>
        </w:tblCellMar>
      </w:tblPr>
      <w:tblGrid>
        <w:gridCol w:w="1111"/>
        <w:gridCol w:w="4804"/>
        <w:gridCol w:w="689"/>
        <w:gridCol w:w="537"/>
        <w:gridCol w:w="1682"/>
      </w:tblGrid>
      <w:tr w14:paraId="4CD60A12">
        <w:tblPrEx>
          <w:tblCellMar>
            <w:top w:w="0" w:type="dxa"/>
            <w:left w:w="10" w:type="dxa"/>
            <w:bottom w:w="0" w:type="dxa"/>
            <w:right w:w="10" w:type="dxa"/>
          </w:tblCellMar>
        </w:tblPrEx>
        <w:trPr>
          <w:trHeight w:val="728" w:hRule="exact"/>
          <w:jc w:val="center"/>
        </w:trPr>
        <w:tc>
          <w:tcPr>
            <w:tcW w:w="630" w:type="pct"/>
            <w:tcBorders>
              <w:top w:val="single" w:color="auto" w:sz="4" w:space="0"/>
              <w:left w:val="single" w:color="auto" w:sz="4" w:space="0"/>
              <w:bottom w:val="single" w:color="auto" w:sz="4" w:space="0"/>
              <w:right w:val="nil"/>
            </w:tcBorders>
            <w:shd w:val="clear" w:color="auto" w:fill="FFFFFF"/>
            <w:vAlign w:val="center"/>
          </w:tcPr>
          <w:p w14:paraId="70FA7F07">
            <w:pPr>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项目类别</w:t>
            </w:r>
          </w:p>
        </w:tc>
        <w:tc>
          <w:tcPr>
            <w:tcW w:w="2721" w:type="pct"/>
            <w:tcBorders>
              <w:top w:val="single" w:color="auto" w:sz="4" w:space="0"/>
              <w:left w:val="single" w:color="auto" w:sz="4" w:space="0"/>
              <w:bottom w:val="single" w:color="auto" w:sz="4" w:space="0"/>
              <w:right w:val="nil"/>
            </w:tcBorders>
            <w:shd w:val="clear" w:color="auto" w:fill="FFFFFF"/>
            <w:vAlign w:val="center"/>
          </w:tcPr>
          <w:p w14:paraId="54E82E3F">
            <w:pPr>
              <w:spacing w:line="330" w:lineRule="exact"/>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采购项目名称</w:t>
            </w:r>
          </w:p>
        </w:tc>
        <w:tc>
          <w:tcPr>
            <w:tcW w:w="390" w:type="pct"/>
            <w:tcBorders>
              <w:top w:val="single" w:color="auto" w:sz="4" w:space="0"/>
              <w:left w:val="single" w:color="auto" w:sz="4" w:space="0"/>
              <w:bottom w:val="single" w:color="auto" w:sz="4" w:space="0"/>
              <w:right w:val="single" w:color="auto" w:sz="4" w:space="0"/>
            </w:tcBorders>
            <w:shd w:val="clear" w:color="auto" w:fill="FFFFFF"/>
          </w:tcPr>
          <w:p w14:paraId="6A4306B8">
            <w:pPr>
              <w:spacing w:line="330" w:lineRule="exact"/>
              <w:rPr>
                <w:rFonts w:ascii="仿宋_GB2312" w:hAnsi="仿宋" w:eastAsia="仿宋_GB2312" w:cs="MingLiU"/>
                <w:kern w:val="0"/>
                <w:sz w:val="24"/>
                <w:szCs w:val="24"/>
                <w:lang w:val="zh-CN" w:bidi="zh-CN"/>
              </w:rPr>
            </w:pPr>
          </w:p>
          <w:p w14:paraId="2865A6E6">
            <w:pPr>
              <w:spacing w:line="330" w:lineRule="exact"/>
              <w:rPr>
                <w:rFonts w:hint="default" w:ascii="仿宋_GB2312" w:hAnsi="仿宋" w:eastAsia="仿宋_GB2312" w:cs="MingLiU"/>
                <w:kern w:val="0"/>
                <w:sz w:val="24"/>
                <w:szCs w:val="24"/>
                <w:lang w:val="en-US" w:bidi="zh-CN"/>
              </w:rPr>
            </w:pPr>
            <w:r>
              <w:rPr>
                <w:rFonts w:hint="eastAsia" w:ascii="仿宋_GB2312" w:hAnsi="仿宋" w:eastAsia="仿宋_GB2312" w:cs="MingLiU"/>
                <w:kern w:val="0"/>
                <w:sz w:val="24"/>
                <w:szCs w:val="24"/>
                <w:lang w:val="en-US" w:bidi="zh-CN"/>
              </w:rPr>
              <w:t>数量</w:t>
            </w:r>
          </w:p>
        </w:tc>
        <w:tc>
          <w:tcPr>
            <w:tcW w:w="304" w:type="pct"/>
            <w:tcBorders>
              <w:top w:val="single" w:color="auto" w:sz="4" w:space="0"/>
              <w:left w:val="single" w:color="auto" w:sz="4" w:space="0"/>
              <w:bottom w:val="single" w:color="auto" w:sz="4" w:space="0"/>
              <w:right w:val="nil"/>
            </w:tcBorders>
            <w:shd w:val="clear" w:color="auto" w:fill="FFFFFF"/>
            <w:vAlign w:val="center"/>
          </w:tcPr>
          <w:p w14:paraId="5EC0882A">
            <w:pPr>
              <w:spacing w:line="330" w:lineRule="exact"/>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是否 进口</w:t>
            </w:r>
          </w:p>
        </w:tc>
        <w:tc>
          <w:tcPr>
            <w:tcW w:w="953" w:type="pct"/>
            <w:tcBorders>
              <w:top w:val="single" w:color="auto" w:sz="4" w:space="0"/>
              <w:left w:val="single" w:color="auto" w:sz="4" w:space="0"/>
              <w:bottom w:val="single" w:color="auto" w:sz="4" w:space="0"/>
              <w:right w:val="single" w:color="auto" w:sz="4" w:space="0"/>
            </w:tcBorders>
            <w:shd w:val="clear" w:color="auto" w:fill="FFFFFF"/>
            <w:vAlign w:val="center"/>
          </w:tcPr>
          <w:p w14:paraId="1B349F75">
            <w:pPr>
              <w:spacing w:line="330" w:lineRule="exact"/>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预算金额（</w:t>
            </w:r>
            <w:r>
              <w:rPr>
                <w:rFonts w:hint="eastAsia" w:ascii="仿宋_GB2312" w:hAnsi="仿宋" w:eastAsia="仿宋_GB2312" w:cs="MingLiU"/>
                <w:kern w:val="0"/>
                <w:sz w:val="24"/>
                <w:szCs w:val="24"/>
                <w:lang w:val="en-US" w:bidi="zh-CN"/>
              </w:rPr>
              <w:t>万</w:t>
            </w:r>
            <w:r>
              <w:rPr>
                <w:rFonts w:hint="eastAsia" w:ascii="仿宋_GB2312" w:hAnsi="仿宋" w:eastAsia="仿宋_GB2312" w:cs="MingLiU"/>
                <w:kern w:val="0"/>
                <w:sz w:val="24"/>
                <w:szCs w:val="24"/>
                <w:lang w:val="zh-CN" w:bidi="zh-CN"/>
              </w:rPr>
              <w:t>元）</w:t>
            </w:r>
          </w:p>
        </w:tc>
      </w:tr>
      <w:tr w14:paraId="46BD859D">
        <w:tblPrEx>
          <w:tblCellMar>
            <w:top w:w="0" w:type="dxa"/>
            <w:left w:w="10" w:type="dxa"/>
            <w:bottom w:w="0" w:type="dxa"/>
            <w:right w:w="10" w:type="dxa"/>
          </w:tblCellMar>
        </w:tblPrEx>
        <w:trPr>
          <w:trHeight w:val="1246" w:hRule="exact"/>
          <w:jc w:val="center"/>
        </w:trPr>
        <w:tc>
          <w:tcPr>
            <w:tcW w:w="630" w:type="pct"/>
            <w:tcBorders>
              <w:top w:val="single" w:color="auto" w:sz="4" w:space="0"/>
              <w:left w:val="single" w:color="auto" w:sz="4" w:space="0"/>
              <w:bottom w:val="single" w:color="auto" w:sz="4" w:space="0"/>
              <w:right w:val="single" w:color="auto" w:sz="4" w:space="0"/>
            </w:tcBorders>
            <w:shd w:val="clear" w:color="auto" w:fill="FFFFFF"/>
            <w:vAlign w:val="center"/>
          </w:tcPr>
          <w:p w14:paraId="0C1346C5">
            <w:pPr>
              <w:spacing w:line="360" w:lineRule="exact"/>
              <w:jc w:val="center"/>
              <w:rPr>
                <w:rFonts w:ascii="仿宋_GB2312" w:hAnsi="仿宋" w:eastAsia="仿宋_GB2312" w:cs="MingLiU"/>
                <w:i/>
                <w:iCs/>
                <w:kern w:val="0"/>
                <w:sz w:val="24"/>
                <w:szCs w:val="24"/>
                <w:u w:val="single"/>
                <w:lang w:val="zh-CN" w:bidi="zh-CN"/>
              </w:rPr>
            </w:pPr>
            <w:r>
              <w:rPr>
                <w:rFonts w:hint="eastAsia" w:ascii="仿宋_GB2312" w:hAnsi="仿宋" w:eastAsia="仿宋_GB2312" w:cs="MingLiU"/>
                <w:kern w:val="0"/>
                <w:sz w:val="24"/>
                <w:szCs w:val="24"/>
                <w:lang w:val="en-US" w:bidi="zh-CN"/>
              </w:rPr>
              <w:t>服务</w:t>
            </w:r>
          </w:p>
        </w:tc>
        <w:tc>
          <w:tcPr>
            <w:tcW w:w="2721" w:type="pct"/>
            <w:tcBorders>
              <w:top w:val="single" w:color="auto" w:sz="4" w:space="0"/>
              <w:left w:val="single" w:color="auto" w:sz="4" w:space="0"/>
              <w:bottom w:val="single" w:color="auto" w:sz="4" w:space="0"/>
              <w:right w:val="single" w:color="auto" w:sz="4" w:space="0"/>
            </w:tcBorders>
            <w:shd w:val="clear" w:color="auto" w:fill="FFFFFF"/>
            <w:vAlign w:val="center"/>
          </w:tcPr>
          <w:p w14:paraId="1DC3AFED">
            <w:pPr>
              <w:spacing w:after="360" w:line="276" w:lineRule="auto"/>
              <w:ind w:firstLine="360" w:firstLineChars="150"/>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政府会计制度财务管理软件、医院预算控制管理信息系统、医院全成本管理系统的</w:t>
            </w:r>
            <w:bookmarkStart w:id="2" w:name="_GoBack"/>
            <w:bookmarkEnd w:id="2"/>
            <w:r>
              <w:rPr>
                <w:rFonts w:hint="eastAsia" w:ascii="仿宋_GB2312" w:hAnsi="仿宋" w:eastAsia="仿宋_GB2312" w:cs="MingLiU"/>
                <w:kern w:val="0"/>
                <w:sz w:val="24"/>
                <w:szCs w:val="24"/>
                <w:lang w:val="zh-CN" w:bidi="zh-CN"/>
              </w:rPr>
              <w:t>维保服务</w:t>
            </w:r>
          </w:p>
          <w:p w14:paraId="2BCF0B5F">
            <w:pPr>
              <w:spacing w:line="330" w:lineRule="exact"/>
              <w:jc w:val="center"/>
              <w:rPr>
                <w:rFonts w:hint="default" w:ascii="仿宋_GB2312" w:hAnsi="仿宋" w:eastAsia="仿宋_GB2312" w:cs="MingLiU"/>
                <w:kern w:val="0"/>
                <w:sz w:val="24"/>
                <w:szCs w:val="24"/>
                <w:lang w:val="en-US" w:bidi="zh-CN"/>
              </w:rPr>
            </w:pPr>
          </w:p>
        </w:tc>
        <w:tc>
          <w:tcPr>
            <w:tcW w:w="390" w:type="pct"/>
            <w:tcBorders>
              <w:top w:val="single" w:color="auto" w:sz="4" w:space="0"/>
              <w:left w:val="single" w:color="auto" w:sz="4" w:space="0"/>
              <w:bottom w:val="single" w:color="auto" w:sz="4" w:space="0"/>
              <w:right w:val="single" w:color="auto" w:sz="4" w:space="0"/>
            </w:tcBorders>
            <w:shd w:val="clear" w:color="auto" w:fill="FFFFFF"/>
            <w:vAlign w:val="center"/>
          </w:tcPr>
          <w:p w14:paraId="2E7CF93B">
            <w:pPr>
              <w:spacing w:line="330" w:lineRule="exact"/>
              <w:jc w:val="center"/>
              <w:rPr>
                <w:rFonts w:ascii="仿宋_GB2312" w:hAnsi="仿宋" w:eastAsia="仿宋_GB2312" w:cs="MingLiU"/>
                <w:kern w:val="0"/>
                <w:sz w:val="24"/>
                <w:szCs w:val="24"/>
                <w:lang w:bidi="zh-CN"/>
              </w:rPr>
            </w:pPr>
            <w:r>
              <w:rPr>
                <w:rFonts w:hint="eastAsia" w:ascii="仿宋_GB2312" w:hAnsi="仿宋" w:eastAsia="仿宋_GB2312" w:cs="MingLiU"/>
                <w:kern w:val="0"/>
                <w:sz w:val="24"/>
                <w:szCs w:val="24"/>
                <w:lang w:val="en-US" w:bidi="zh-CN"/>
              </w:rPr>
              <w:t>1</w:t>
            </w:r>
          </w:p>
        </w:tc>
        <w:tc>
          <w:tcPr>
            <w:tcW w:w="304" w:type="pct"/>
            <w:tcBorders>
              <w:top w:val="single" w:color="auto" w:sz="4" w:space="0"/>
              <w:left w:val="single" w:color="auto" w:sz="4" w:space="0"/>
              <w:bottom w:val="single" w:color="auto" w:sz="4" w:space="0"/>
              <w:right w:val="single" w:color="auto" w:sz="4" w:space="0"/>
            </w:tcBorders>
            <w:shd w:val="clear" w:color="auto" w:fill="FFFFFF"/>
            <w:vAlign w:val="center"/>
          </w:tcPr>
          <w:p w14:paraId="0B720588">
            <w:pPr>
              <w:spacing w:line="330" w:lineRule="exact"/>
              <w:jc w:val="center"/>
              <w:rPr>
                <w:rFonts w:ascii="仿宋_GB2312" w:hAnsi="仿宋" w:eastAsia="仿宋_GB2312" w:cs="MingLiU"/>
                <w:kern w:val="0"/>
                <w:sz w:val="24"/>
                <w:szCs w:val="24"/>
                <w:lang w:val="zh-CN" w:bidi="zh-CN"/>
              </w:rPr>
            </w:pPr>
            <w:r>
              <w:rPr>
                <w:rFonts w:hint="eastAsia" w:ascii="仿宋_GB2312" w:hAnsi="仿宋" w:eastAsia="仿宋_GB2312" w:cs="MingLiU"/>
                <w:kern w:val="0"/>
                <w:sz w:val="24"/>
                <w:szCs w:val="24"/>
                <w:lang w:val="zh-CN" w:bidi="zh-CN"/>
              </w:rPr>
              <w:t>否</w:t>
            </w:r>
          </w:p>
        </w:tc>
        <w:tc>
          <w:tcPr>
            <w:tcW w:w="953" w:type="pct"/>
            <w:tcBorders>
              <w:top w:val="single" w:color="auto" w:sz="4" w:space="0"/>
              <w:left w:val="single" w:color="auto" w:sz="4" w:space="0"/>
              <w:bottom w:val="single" w:color="auto" w:sz="4" w:space="0"/>
              <w:right w:val="single" w:color="auto" w:sz="4" w:space="0"/>
            </w:tcBorders>
            <w:shd w:val="clear" w:color="auto" w:fill="FFFFFF"/>
            <w:vAlign w:val="center"/>
          </w:tcPr>
          <w:p w14:paraId="304AF59E">
            <w:pPr>
              <w:spacing w:line="330" w:lineRule="exact"/>
              <w:jc w:val="center"/>
              <w:rPr>
                <w:rFonts w:hint="default" w:ascii="仿宋_GB2312" w:hAnsi="仿宋" w:eastAsia="仿宋_GB2312" w:cs="MingLiU"/>
                <w:kern w:val="0"/>
                <w:sz w:val="24"/>
                <w:szCs w:val="24"/>
                <w:lang w:val="en-US" w:bidi="zh-CN"/>
              </w:rPr>
            </w:pPr>
            <w:r>
              <w:rPr>
                <w:rFonts w:hint="eastAsia" w:ascii="仿宋_GB2312" w:hAnsi="仿宋" w:eastAsia="仿宋_GB2312" w:cs="MingLiU"/>
                <w:kern w:val="0"/>
                <w:sz w:val="24"/>
                <w:szCs w:val="24"/>
                <w:lang w:val="en-US" w:bidi="zh-CN"/>
              </w:rPr>
              <w:t>4万</w:t>
            </w:r>
          </w:p>
        </w:tc>
      </w:tr>
    </w:tbl>
    <w:p w14:paraId="708DB334">
      <w:pPr>
        <w:spacing w:after="360" w:line="276" w:lineRule="auto"/>
        <w:ind w:firstLine="420" w:firstLineChars="150"/>
        <w:jc w:val="left"/>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说明：项目类别分为医用设备、通用设备、工程、服务、维修、维保、耗材。</w:t>
      </w:r>
    </w:p>
    <w:p w14:paraId="14C96FD1">
      <w:pPr>
        <w:spacing w:after="360" w:line="276" w:lineRule="auto"/>
        <w:ind w:firstLine="542" w:firstLineChars="150"/>
        <w:jc w:val="left"/>
        <w:rPr>
          <w:rFonts w:hint="eastAsia" w:ascii="仿宋_GB2312" w:hAnsi="楷体" w:eastAsia="仿宋_GB2312" w:cs="MingLiU"/>
          <w:b/>
          <w:iCs/>
          <w:kern w:val="0"/>
          <w:sz w:val="36"/>
          <w:szCs w:val="36"/>
          <w:lang w:val="zh-CN" w:bidi="zh-CN"/>
        </w:rPr>
      </w:pPr>
      <w:r>
        <w:rPr>
          <w:rFonts w:hint="eastAsia" w:ascii="仿宋_GB2312" w:hAnsi="楷体" w:eastAsia="仿宋_GB2312" w:cs="MingLiU"/>
          <w:b/>
          <w:iCs/>
          <w:kern w:val="0"/>
          <w:sz w:val="36"/>
          <w:szCs w:val="36"/>
          <w:lang w:val="en-US" w:bidi="zh-CN"/>
        </w:rPr>
        <w:t>一、服务内容</w:t>
      </w:r>
      <w:r>
        <w:rPr>
          <w:rFonts w:hint="eastAsia" w:ascii="仿宋_GB2312" w:hAnsi="楷体" w:eastAsia="仿宋_GB2312" w:cs="MingLiU"/>
          <w:b/>
          <w:iCs/>
          <w:kern w:val="0"/>
          <w:sz w:val="36"/>
          <w:szCs w:val="36"/>
          <w:lang w:val="zh-CN" w:bidi="zh-CN"/>
        </w:rPr>
        <w:t>：</w:t>
      </w:r>
    </w:p>
    <w:p w14:paraId="56F6CAA7">
      <w:pPr>
        <w:keepNext w:val="0"/>
        <w:keepLines w:val="0"/>
        <w:pageBreakBefore w:val="0"/>
        <w:kinsoku/>
        <w:wordWrap/>
        <w:overflowPunct/>
        <w:topLinePunct w:val="0"/>
        <w:autoSpaceDE/>
        <w:autoSpaceDN/>
        <w:bidi w:val="0"/>
        <w:adjustRightInd/>
        <w:snapToGrid/>
        <w:spacing w:line="6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服务期限：</w:t>
      </w:r>
      <w:r>
        <w:rPr>
          <w:rFonts w:hint="eastAsia" w:ascii="仿宋_GB2312" w:hAnsi="仿宋_GB2312" w:eastAsia="仿宋_GB2312" w:cs="仿宋_GB2312"/>
          <w:sz w:val="28"/>
          <w:szCs w:val="28"/>
          <w:lang w:val="en-US" w:eastAsia="zh-CN"/>
        </w:rPr>
        <w:t>本项目服务有效期一年，自合同签订之日起开始计算。</w:t>
      </w:r>
    </w:p>
    <w:p w14:paraId="1331C15F">
      <w:pPr>
        <w:keepNext w:val="0"/>
        <w:keepLines w:val="0"/>
        <w:pageBreakBefore w:val="0"/>
        <w:kinsoku/>
        <w:wordWrap/>
        <w:overflowPunct/>
        <w:topLinePunct w:val="0"/>
        <w:autoSpaceDE/>
        <w:autoSpaceDN/>
        <w:bidi w:val="0"/>
        <w:adjustRightInd/>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服务要求</w:t>
      </w:r>
    </w:p>
    <w:p w14:paraId="62F5AC27">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val="en-US" w:eastAsia="zh-CN"/>
        </w:rPr>
        <w:t>服务目标</w:t>
      </w:r>
    </w:p>
    <w:p w14:paraId="66F241E9">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政府会计制度财务管理软件、医院预算控制管理信息系统、医院全成本管理系统</w:t>
      </w:r>
      <w:r>
        <w:rPr>
          <w:rFonts w:hint="eastAsia" w:ascii="仿宋_GB2312" w:hAnsi="仿宋_GB2312" w:eastAsia="仿宋_GB2312" w:cs="仿宋_GB2312"/>
          <w:sz w:val="28"/>
          <w:szCs w:val="28"/>
        </w:rPr>
        <w:t>系统稳定、安全、高效</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运行，</w:t>
      </w:r>
      <w:r>
        <w:rPr>
          <w:rFonts w:hint="eastAsia" w:ascii="仿宋_GB2312" w:hAnsi="仿宋_GB2312" w:eastAsia="仿宋_GB2312" w:cs="仿宋_GB2312"/>
          <w:sz w:val="28"/>
          <w:szCs w:val="28"/>
          <w:lang w:val="en-US" w:eastAsia="zh-CN"/>
        </w:rPr>
        <w:t>提供技术支持与维护服务</w:t>
      </w:r>
      <w:r>
        <w:rPr>
          <w:rFonts w:hint="eastAsia" w:ascii="仿宋_GB2312" w:hAnsi="仿宋_GB2312" w:eastAsia="仿宋_GB2312" w:cs="仿宋_GB2312"/>
          <w:sz w:val="28"/>
          <w:szCs w:val="28"/>
        </w:rPr>
        <w:t>及时对系统进行必要、合理的经常性维护、</w:t>
      </w:r>
      <w:r>
        <w:rPr>
          <w:rFonts w:hint="eastAsia" w:ascii="仿宋_GB2312" w:hAnsi="仿宋_GB2312" w:eastAsia="仿宋_GB2312" w:cs="仿宋_GB2312"/>
          <w:sz w:val="28"/>
          <w:szCs w:val="28"/>
          <w:lang w:val="en-US" w:eastAsia="zh-CN"/>
        </w:rPr>
        <w:t>医院需求</w:t>
      </w:r>
      <w:r>
        <w:rPr>
          <w:rFonts w:hint="eastAsia" w:ascii="仿宋_GB2312" w:hAnsi="仿宋_GB2312" w:eastAsia="仿宋_GB2312" w:cs="仿宋_GB2312"/>
          <w:sz w:val="28"/>
          <w:szCs w:val="28"/>
        </w:rPr>
        <w:t>修改与优化。</w:t>
      </w:r>
    </w:p>
    <w:p w14:paraId="50A7DB72">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（二）维护服务内容与相应要求</w:t>
      </w:r>
    </w:p>
    <w:p w14:paraId="6F618DA1">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1．日常维护：</w:t>
      </w:r>
    </w:p>
    <w:p w14:paraId="4B6A7CDB">
      <w:pPr>
        <w:keepNext w:val="0"/>
        <w:keepLines w:val="0"/>
        <w:pageBreakBefore w:val="0"/>
        <w:kinsoku/>
        <w:wordWrap/>
        <w:overflowPunct/>
        <w:topLinePunct w:val="0"/>
        <w:autoSpaceDE/>
        <w:autoSpaceDN/>
        <w:bidi w:val="0"/>
        <w:adjustRightInd/>
        <w:snapToGrid/>
        <w:spacing w:line="62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系统的日常</w:t>
      </w:r>
      <w:r>
        <w:rPr>
          <w:rFonts w:hint="eastAsia" w:ascii="仿宋_GB2312" w:hAnsi="仿宋_GB2312" w:eastAsia="仿宋_GB2312" w:cs="仿宋_GB2312"/>
          <w:sz w:val="28"/>
          <w:szCs w:val="28"/>
          <w:lang w:val="en-US" w:eastAsia="zh-CN"/>
        </w:rPr>
        <w:t>操作指导</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软件Bug维护、软件误操作修复、维护性配置调整、</w:t>
      </w:r>
      <w:r>
        <w:rPr>
          <w:rFonts w:hint="eastAsia" w:ascii="仿宋_GB2312" w:hAnsi="仿宋_GB2312" w:eastAsia="仿宋_GB2312" w:cs="仿宋_GB2312"/>
          <w:sz w:val="28"/>
          <w:szCs w:val="28"/>
        </w:rPr>
        <w:t>系统之间</w:t>
      </w:r>
      <w:r>
        <w:rPr>
          <w:rFonts w:hint="eastAsia" w:ascii="仿宋_GB2312" w:hAnsi="仿宋_GB2312" w:eastAsia="仿宋_GB2312" w:cs="仿宋_GB2312"/>
          <w:sz w:val="28"/>
          <w:szCs w:val="28"/>
          <w:lang w:val="en-US" w:eastAsia="zh-CN"/>
        </w:rPr>
        <w:t>数据交互</w:t>
      </w:r>
      <w:r>
        <w:rPr>
          <w:rFonts w:hint="eastAsia" w:ascii="仿宋_GB2312" w:hAnsi="仿宋_GB2312" w:eastAsia="仿宋_GB2312" w:cs="仿宋_GB2312"/>
          <w:sz w:val="28"/>
          <w:szCs w:val="28"/>
        </w:rPr>
        <w:t>的接口</w:t>
      </w:r>
      <w:r>
        <w:rPr>
          <w:rFonts w:hint="eastAsia" w:ascii="仿宋_GB2312" w:hAnsi="仿宋_GB2312" w:eastAsia="仿宋_GB2312" w:cs="仿宋_GB2312"/>
          <w:sz w:val="28"/>
          <w:szCs w:val="28"/>
          <w:lang w:val="en-US" w:eastAsia="zh-CN"/>
        </w:rPr>
        <w:t>维护</w:t>
      </w:r>
      <w:r>
        <w:rPr>
          <w:rFonts w:hint="eastAsia" w:ascii="仿宋_GB2312" w:hAnsi="仿宋_GB2312" w:eastAsia="仿宋_GB2312" w:cs="仿宋_GB2312"/>
          <w:sz w:val="28"/>
          <w:szCs w:val="28"/>
        </w:rPr>
        <w:t>服务，所承建的其他接口项目的维护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应用软件系统必要、必须且符合产品发展方向的客户化需求修改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应用软件涉及的接口的运行维护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报表的制作或修改。</w:t>
      </w:r>
    </w:p>
    <w:p w14:paraId="68A11C15">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稳定运行保障：保证各软件模块和接口功能的完整及正确性，能承受不断增加的业务和数据压力，有效处理业务繁忙时期经常发生的系统卡顿问题，必要时，对数据库进行优化，保证系统运行的高效、稳定。一旦发生模块或接口运行故障导致相应业务处理或管理工作无法进行，按规定时间处理好故障。</w:t>
      </w:r>
    </w:p>
    <w:p w14:paraId="4E4E17C4">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程序错误修改：保证各软件模块和接口在使用过程中一旦发现有错误（程序bug），按规定时间改正程序错误。</w:t>
      </w:r>
    </w:p>
    <w:p w14:paraId="6A9D2D2B">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系统数据修复：保证各软件模块和接口使用过程中，因用户误操作等原因导致数据错误，按规定时间查明原因和修复数据。</w:t>
      </w:r>
    </w:p>
    <w:p w14:paraId="676DF58B">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统计报表数据解释：针对报表数据与实际不符或与其他报表不对应的情况，负责24小时内查出原因、解决问题。</w:t>
      </w:r>
    </w:p>
    <w:p w14:paraId="07E259F2">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升级服务：</w:t>
      </w:r>
    </w:p>
    <w:p w14:paraId="0F22C163">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根据院方对系统的需求提供升级服务，紧密切合医院管理要求，升级前需</w:t>
      </w:r>
      <w:r>
        <w:rPr>
          <w:rFonts w:hint="eastAsia" w:ascii="仿宋_GB2312" w:hAnsi="仿宋_GB2312" w:eastAsia="仿宋_GB2312" w:cs="仿宋_GB2312"/>
          <w:sz w:val="28"/>
          <w:szCs w:val="28"/>
          <w:lang w:val="en-US" w:eastAsia="zh-CN"/>
        </w:rPr>
        <w:t>结合医院当前使用版本</w:t>
      </w:r>
      <w:r>
        <w:rPr>
          <w:rFonts w:hint="eastAsia" w:ascii="仿宋_GB2312" w:hAnsi="仿宋_GB2312" w:eastAsia="仿宋_GB2312" w:cs="仿宋_GB2312"/>
          <w:sz w:val="28"/>
          <w:szCs w:val="28"/>
        </w:rPr>
        <w:t>做好充分的测试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测试不应只局限于升级内容，须进行全流程的测试，</w:t>
      </w:r>
      <w:r>
        <w:rPr>
          <w:rFonts w:hint="eastAsia" w:ascii="仿宋_GB2312" w:hAnsi="仿宋_GB2312" w:eastAsia="仿宋_GB2312" w:cs="仿宋_GB2312"/>
          <w:sz w:val="28"/>
          <w:szCs w:val="28"/>
        </w:rPr>
        <w:t>必要时安排开发人员到现场，直至升级故障全部处理完毕，系统运行平稳。</w:t>
      </w:r>
    </w:p>
    <w:p w14:paraId="44CCA20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做好相应的升级台账，如升级内容、突发故障、升级结果等，并打印纸质文件交</w:t>
      </w:r>
      <w:r>
        <w:rPr>
          <w:rFonts w:hint="eastAsia" w:ascii="仿宋_GB2312" w:hAnsi="仿宋_GB2312" w:eastAsia="仿宋_GB2312" w:cs="仿宋_GB2312"/>
          <w:sz w:val="28"/>
          <w:szCs w:val="28"/>
          <w:lang w:val="en-US" w:eastAsia="zh-CN"/>
        </w:rPr>
        <w:t>信息数据部</w:t>
      </w:r>
      <w:r>
        <w:rPr>
          <w:rFonts w:hint="eastAsia" w:ascii="仿宋_GB2312" w:hAnsi="仿宋_GB2312" w:eastAsia="仿宋_GB2312" w:cs="仿宋_GB2312"/>
          <w:sz w:val="28"/>
          <w:szCs w:val="28"/>
        </w:rPr>
        <w:t>签字确认。</w:t>
      </w:r>
    </w:p>
    <w:p w14:paraId="376CBD60">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每日24小时随时电话响应，24小时内解决处理好故障，影响医院正常业务的问题需2小时内派人来现场解决。</w:t>
      </w:r>
    </w:p>
    <w:p w14:paraId="614A8703">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1.7  </w:t>
      </w:r>
      <w:r>
        <w:rPr>
          <w:rFonts w:hint="eastAsia" w:ascii="仿宋_GB2312" w:hAnsi="仿宋_GB2312" w:eastAsia="仿宋_GB2312" w:cs="仿宋_GB2312"/>
          <w:sz w:val="28"/>
          <w:szCs w:val="28"/>
        </w:rPr>
        <w:t>培训服务：根据院方需求，每</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rPr>
        <w:t>度到院开展</w:t>
      </w:r>
      <w:r>
        <w:rPr>
          <w:rFonts w:hint="eastAsia" w:ascii="仿宋_GB2312" w:hAnsi="仿宋_GB2312" w:eastAsia="仿宋_GB2312" w:cs="仿宋_GB2312"/>
          <w:sz w:val="28"/>
          <w:szCs w:val="28"/>
          <w:lang w:val="en-US" w:eastAsia="zh-CN"/>
        </w:rPr>
        <w:t>不少于1</w:t>
      </w:r>
      <w:r>
        <w:rPr>
          <w:rFonts w:hint="eastAsia" w:ascii="仿宋_GB2312" w:hAnsi="仿宋_GB2312" w:eastAsia="仿宋_GB2312" w:cs="仿宋_GB2312"/>
          <w:sz w:val="28"/>
          <w:szCs w:val="28"/>
        </w:rPr>
        <w:t>次的技术培训服务，根据院方提出的需求制定培训内容，并做好培训台账，由</w:t>
      </w:r>
      <w:r>
        <w:rPr>
          <w:rFonts w:hint="eastAsia" w:ascii="仿宋_GB2312" w:hAnsi="仿宋_GB2312" w:eastAsia="仿宋_GB2312" w:cs="仿宋_GB2312"/>
          <w:sz w:val="28"/>
          <w:szCs w:val="28"/>
          <w:lang w:val="en-US" w:eastAsia="zh-CN"/>
        </w:rPr>
        <w:t>信息数据部</w:t>
      </w:r>
      <w:r>
        <w:rPr>
          <w:rFonts w:hint="eastAsia" w:ascii="仿宋_GB2312" w:hAnsi="仿宋_GB2312" w:eastAsia="仿宋_GB2312" w:cs="仿宋_GB2312"/>
          <w:sz w:val="28"/>
          <w:szCs w:val="28"/>
        </w:rPr>
        <w:t>签字确认。</w:t>
      </w:r>
    </w:p>
    <w:p w14:paraId="32EC78A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 xml:space="preserve">1.8  </w:t>
      </w:r>
      <w:r>
        <w:rPr>
          <w:rFonts w:hint="eastAsia" w:ascii="仿宋_GB2312" w:hAnsi="仿宋_GB2312" w:eastAsia="仿宋_GB2312" w:cs="仿宋_GB2312"/>
          <w:sz w:val="28"/>
          <w:szCs w:val="28"/>
          <w:lang w:val="en-US" w:eastAsia="zh-CN"/>
        </w:rPr>
        <w:t>提供巡检服务，全面保障系统持续稳定运行。每季度对系统进行全面检测，确认系统运行状态，检查系统错误记录，排除隐患故障，并进行系统保养工作及提出预防措施，做好维护总结报告反馈给医院信息主管部门（季度）。巡检内容包括但不限于</w:t>
      </w:r>
    </w:p>
    <w:p w14:paraId="55BA6F5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（1）服务器检查：</w:t>
      </w:r>
    </w:p>
    <w:p w14:paraId="72039342">
      <w:pPr>
        <w:keepNext w:val="0"/>
        <w:keepLines w:val="0"/>
        <w:pageBreakBefore w:val="0"/>
        <w:widowControl/>
        <w:suppressLineNumbers w:val="0"/>
        <w:kinsoku/>
        <w:wordWrap/>
        <w:overflowPunct/>
        <w:topLinePunct w:val="0"/>
        <w:autoSpaceDE/>
        <w:autoSpaceDN/>
        <w:bidi w:val="0"/>
        <w:adjustRightInd/>
        <w:snapToGrid/>
        <w:spacing w:line="620" w:lineRule="exact"/>
        <w:ind w:firstLine="840" w:firstLineChars="3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1).系统日志检查；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2).磁盘空间检查；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3).杀毒软件检查；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4).性能使用情况检查；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5).IIS日志检查；</w:t>
      </w:r>
    </w:p>
    <w:p w14:paraId="3D036F88">
      <w:pPr>
        <w:keepNext w:val="0"/>
        <w:keepLines w:val="0"/>
        <w:pageBreakBefore w:val="0"/>
        <w:widowControl/>
        <w:suppressLineNumbers w:val="0"/>
        <w:kinsoku/>
        <w:wordWrap/>
        <w:overflowPunct/>
        <w:topLinePunct w:val="0"/>
        <w:autoSpaceDE/>
        <w:autoSpaceDN/>
        <w:bidi w:val="0"/>
        <w:adjustRightInd/>
        <w:snapToGrid/>
        <w:spacing w:line="620" w:lineRule="exact"/>
        <w:ind w:firstLine="697" w:firstLineChars="249"/>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6).应用程序池设置合理性检查；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7).应用服务文件规范检查。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（2）数据库检查：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1).日志检查；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2).作业检查；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3).接口检查；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4).存储过程检查；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5).备份及空间检查；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6).系统业务表检查。</w:t>
      </w:r>
    </w:p>
    <w:p w14:paraId="17B8FBB2">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  合同期内，配合院方的个性化需求开发，软件开发部分现场需求调研时需派工程师来院配合调研讨论需求的必要性及可实施性，以保证需求的合理及降低开发的反复性，且需与院方协定好时间安排，且需严格按照时间节点按期完成软件修改。</w:t>
      </w:r>
    </w:p>
    <w:p w14:paraId="4875F6FA">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1.10三甲支持：无条件配合医院三甲评审工作，免费进行功能/模块修改及新增，并提供三甲医院评审相关的质量控制指标数据给医院，同时能够将数据根据院方要求的格式免费对接至院方指定的信息系统。</w:t>
      </w:r>
    </w:p>
    <w:p w14:paraId="2AA01E44">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1.11当因政策、管理办法、业务流程改变，要求修改及增加对应接口时，保证在院方规定的时间内完成接口的修改工作，保证接口正常运行，合同期内，免费制作查询报表和接口（单个接口实施和研发工作量不超过10人日，超出工作量范围则另签订接口开发合同）。</w:t>
      </w:r>
    </w:p>
    <w:p w14:paraId="775267D6">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驻场服务：</w:t>
      </w:r>
    </w:p>
    <w:p w14:paraId="1F797AFE">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rPr>
        <w:t xml:space="preserve">2.1 </w:t>
      </w:r>
      <w:r>
        <w:rPr>
          <w:rFonts w:hint="eastAsia" w:ascii="仿宋_GB2312" w:hAnsi="仿宋_GB2312" w:eastAsia="仿宋_GB2312" w:cs="仿宋_GB2312"/>
          <w:sz w:val="28"/>
          <w:szCs w:val="28"/>
        </w:rPr>
        <w:t>自合同签订之日起</w:t>
      </w:r>
      <w:r>
        <w:rPr>
          <w:rFonts w:hint="eastAsia" w:ascii="仿宋_GB2312" w:hAnsi="仿宋_GB2312" w:eastAsia="仿宋_GB2312" w:cs="仿宋_GB2312"/>
          <w:sz w:val="28"/>
          <w:szCs w:val="28"/>
          <w:lang w:val="en-US" w:eastAsia="zh-CN"/>
        </w:rPr>
        <w:t>每月</w:t>
      </w:r>
      <w:r>
        <w:rPr>
          <w:rFonts w:hint="eastAsia" w:ascii="仿宋_GB2312" w:hAnsi="仿宋_GB2312" w:eastAsia="仿宋_GB2312" w:cs="仿宋_GB2312"/>
          <w:sz w:val="28"/>
          <w:szCs w:val="28"/>
        </w:rPr>
        <w:t>派驻一名工程师到院驻场服务</w:t>
      </w:r>
      <w:r>
        <w:rPr>
          <w:rFonts w:hint="eastAsia" w:ascii="仿宋_GB2312" w:hAnsi="仿宋_GB2312" w:eastAsia="仿宋_GB2312" w:cs="仿宋_GB2312"/>
          <w:sz w:val="28"/>
          <w:szCs w:val="28"/>
          <w:lang w:val="en-US" w:eastAsia="zh-CN"/>
        </w:rPr>
        <w:t>不少于1天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及时解决医院信息数据部、财务部及临床科室反馈的问题和需求，解决后进行记录归档；在维护期间，为甲方设立技术档案，用于记录系统维护、应用等状况；</w:t>
      </w:r>
      <w:r>
        <w:rPr>
          <w:rFonts w:hint="eastAsia" w:ascii="仿宋_GB2312" w:hAnsi="仿宋_GB2312" w:eastAsia="仿宋_GB2312" w:cs="仿宋_GB2312"/>
          <w:sz w:val="28"/>
          <w:szCs w:val="28"/>
        </w:rPr>
        <w:t>按医院</w:t>
      </w:r>
      <w:r>
        <w:rPr>
          <w:rFonts w:hint="eastAsia" w:ascii="仿宋_GB2312" w:hAnsi="仿宋_GB2312" w:eastAsia="仿宋_GB2312" w:cs="仿宋_GB2312"/>
          <w:sz w:val="28"/>
          <w:szCs w:val="28"/>
          <w:lang w:val="en-US" w:eastAsia="zh-CN"/>
        </w:rPr>
        <w:t>正常</w:t>
      </w:r>
      <w:r>
        <w:rPr>
          <w:rFonts w:hint="eastAsia" w:ascii="仿宋_GB2312" w:hAnsi="仿宋_GB2312" w:eastAsia="仿宋_GB2312" w:cs="仿宋_GB2312"/>
          <w:sz w:val="28"/>
          <w:szCs w:val="28"/>
        </w:rPr>
        <w:t>作息时间上班到岗，节假日</w:t>
      </w:r>
      <w:r>
        <w:rPr>
          <w:rFonts w:hint="eastAsia" w:ascii="仿宋_GB2312" w:hAnsi="仿宋_GB2312" w:eastAsia="仿宋_GB2312" w:cs="仿宋_GB2312"/>
          <w:sz w:val="28"/>
          <w:szCs w:val="28"/>
          <w:lang w:val="en-US" w:eastAsia="zh-CN"/>
        </w:rPr>
        <w:t>保持通讯畅通</w:t>
      </w:r>
      <w:r>
        <w:rPr>
          <w:rFonts w:hint="eastAsia" w:ascii="仿宋_GB2312" w:hAnsi="仿宋_GB2312" w:eastAsia="仿宋_GB2312" w:cs="仿宋_GB2312"/>
          <w:sz w:val="28"/>
          <w:szCs w:val="28"/>
        </w:rPr>
        <w:t>，重大故障时，需2小时内赶到现场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驻场</w:t>
      </w:r>
      <w:r>
        <w:rPr>
          <w:rFonts w:hint="eastAsia" w:ascii="仿宋_GB2312" w:hAnsi="仿宋_GB2312" w:eastAsia="仿宋_GB2312" w:cs="仿宋_GB2312"/>
          <w:sz w:val="28"/>
          <w:szCs w:val="28"/>
          <w:lang w:val="en-US" w:eastAsia="zh-CN"/>
        </w:rPr>
        <w:t>工程师须固定，不能随意调换，若需调换须书面向院方申请，经院方同意方能调换。</w:t>
      </w:r>
    </w:p>
    <w:p w14:paraId="22EB7596">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2.2 驻场人员要求：</w:t>
      </w:r>
    </w:p>
    <w:p w14:paraId="7B428BA0">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 售后或实施工程师，</w:t>
      </w:r>
      <w:r>
        <w:rPr>
          <w:rFonts w:hint="eastAsia" w:ascii="仿宋_GB2312" w:hAnsi="仿宋_GB2312" w:eastAsia="仿宋_GB2312" w:cs="仿宋_GB2312"/>
          <w:sz w:val="28"/>
          <w:szCs w:val="28"/>
          <w:lang w:val="en-US" w:eastAsia="zh-CN"/>
        </w:rPr>
        <w:t>熟悉系统的基本架构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熟悉系统业务流程，</w:t>
      </w:r>
      <w:r>
        <w:rPr>
          <w:rFonts w:hint="eastAsia" w:ascii="仿宋_GB2312" w:hAnsi="仿宋_GB2312" w:eastAsia="仿宋_GB2312" w:cs="仿宋_GB2312"/>
          <w:sz w:val="28"/>
          <w:szCs w:val="28"/>
        </w:rPr>
        <w:t>熟悉系统各类报表与接口，能配合医院需求及时进行服务范围内的功能修改</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接口修改等；</w:t>
      </w:r>
    </w:p>
    <w:p w14:paraId="12C1D61E">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能熟练使用软件原型工具和需求分析工具；具有独立工作能力，较强的组织、协调、执行能力和团队合作精神，责任心强；</w:t>
      </w:r>
    </w:p>
    <w:p w14:paraId="00E2CBE6">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熟悉</w:t>
      </w:r>
      <w:r>
        <w:rPr>
          <w:rFonts w:hint="eastAsia" w:ascii="仿宋_GB2312" w:hAnsi="仿宋_GB2312" w:eastAsia="仿宋_GB2312" w:cs="仿宋_GB2312"/>
          <w:sz w:val="28"/>
          <w:szCs w:val="28"/>
          <w:lang w:val="en-US" w:eastAsia="zh-CN"/>
        </w:rPr>
        <w:t>系统的数据库、应用服务器</w:t>
      </w:r>
      <w:r>
        <w:rPr>
          <w:rFonts w:hint="eastAsia" w:ascii="仿宋_GB2312" w:hAnsi="仿宋_GB2312" w:eastAsia="仿宋_GB2312" w:cs="仿宋_GB2312"/>
          <w:sz w:val="28"/>
          <w:szCs w:val="28"/>
        </w:rPr>
        <w:t>操作系统</w:t>
      </w:r>
      <w:r>
        <w:rPr>
          <w:rFonts w:hint="eastAsia" w:ascii="仿宋_GB2312" w:hAnsi="仿宋_GB2312" w:eastAsia="仿宋_GB2312" w:cs="仿宋_GB2312"/>
          <w:sz w:val="28"/>
          <w:szCs w:val="28"/>
          <w:lang w:val="en-US" w:eastAsia="zh-CN"/>
        </w:rPr>
        <w:t>及数据库软件</w:t>
      </w:r>
      <w:r>
        <w:rPr>
          <w:rFonts w:hint="eastAsia" w:ascii="仿宋_GB2312" w:hAnsi="仿宋_GB2312" w:eastAsia="仿宋_GB2312" w:cs="仿宋_GB2312"/>
          <w:sz w:val="28"/>
          <w:szCs w:val="28"/>
        </w:rPr>
        <w:t>；熟悉</w:t>
      </w:r>
      <w:r>
        <w:rPr>
          <w:rFonts w:hint="eastAsia" w:ascii="仿宋_GB2312" w:hAnsi="仿宋_GB2312" w:eastAsia="仿宋_GB2312" w:cs="仿宋_GB2312"/>
          <w:sz w:val="28"/>
          <w:szCs w:val="28"/>
          <w:lang w:val="en-US" w:eastAsia="zh-CN"/>
        </w:rPr>
        <w:t>Oracle</w:t>
      </w:r>
      <w:r>
        <w:rPr>
          <w:rFonts w:hint="eastAsia" w:ascii="仿宋_GB2312" w:hAnsi="仿宋_GB2312" w:eastAsia="仿宋_GB2312" w:cs="仿宋_GB2312"/>
          <w:sz w:val="28"/>
          <w:szCs w:val="28"/>
        </w:rPr>
        <w:t>等数据库，了解常用编程语言及</w:t>
      </w:r>
      <w:r>
        <w:rPr>
          <w:rFonts w:hint="eastAsia" w:ascii="仿宋_GB2312" w:hAnsi="仿宋_GB2312" w:eastAsia="仿宋_GB2312" w:cs="仿宋_GB2312"/>
          <w:sz w:val="28"/>
          <w:szCs w:val="28"/>
          <w:lang w:val="en-US" w:eastAsia="zh-CN"/>
        </w:rPr>
        <w:t>Oracle</w:t>
      </w:r>
      <w:r>
        <w:rPr>
          <w:rFonts w:hint="eastAsia" w:ascii="仿宋_GB2312" w:hAnsi="仿宋_GB2312" w:eastAsia="仿宋_GB2312" w:cs="仿宋_GB2312"/>
          <w:sz w:val="28"/>
          <w:szCs w:val="28"/>
        </w:rPr>
        <w:t>语句；</w:t>
      </w:r>
    </w:p>
    <w:p w14:paraId="52E9608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具有较强的项目文档编写能力，熟练操作office、Excel、PPT、PDF等办公软件。</w:t>
      </w:r>
    </w:p>
    <w:p w14:paraId="40576694">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良好的协调内外部关系的能力，良好的综合素质，严谨的逻辑思维能力，能冷静处理应急问题。</w:t>
      </w:r>
    </w:p>
    <w:p w14:paraId="31B944E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工作态度端正，积极作为，认真负责，不推诿，吃苦耐劳。</w:t>
      </w:r>
    </w:p>
    <w:p w14:paraId="0C869E2F">
      <w:pPr>
        <w:pStyle w:val="7"/>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2.3 驻场人员</w:t>
      </w:r>
      <w:r>
        <w:rPr>
          <w:rFonts w:hint="eastAsia" w:ascii="仿宋_GB2312" w:hAnsi="仿宋_GB2312" w:eastAsia="仿宋_GB2312" w:cs="仿宋_GB2312"/>
          <w:b w:val="0"/>
          <w:bCs w:val="0"/>
          <w:sz w:val="28"/>
          <w:szCs w:val="28"/>
          <w:lang w:val="en-US" w:eastAsia="zh-CN"/>
        </w:rPr>
        <w:t>在</w:t>
      </w:r>
      <w:r>
        <w:rPr>
          <w:rFonts w:hint="eastAsia" w:ascii="仿宋_GB2312" w:hAnsi="仿宋_GB2312" w:eastAsia="仿宋_GB2312" w:cs="仿宋_GB2312"/>
          <w:b w:val="0"/>
          <w:bCs w:val="0"/>
          <w:sz w:val="28"/>
          <w:szCs w:val="28"/>
        </w:rPr>
        <w:t>合同期间，因工作态度不端正，技术水平低，工作推诿，引起投诉，经院方要求，立即无条件更换。</w:t>
      </w:r>
    </w:p>
    <w:p w14:paraId="7810479D">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（三）服务响应时间要求</w:t>
      </w:r>
    </w:p>
    <w:p w14:paraId="0F31395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A类问题</w:t>
      </w:r>
    </w:p>
    <w:p w14:paraId="0ACF704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1.1严重影响整个系统运行，导致系统不能正常运转，业务处理错误严重且工作流程不能正常进行等；此类问题保证在最短的时间内予以解决；</w:t>
      </w:r>
    </w:p>
    <w:p w14:paraId="3CB38E3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任何时期当软件系统出现A类问题时，中标人的资深工程师在2小时内到达现场，与采购人系统维护人员、驻场工程师一起首先确定问题原因；随后4小时之内针对实际问题给出详细解决方案，并立即着手进行处理；</w:t>
      </w:r>
    </w:p>
    <w:p w14:paraId="3CE6C914">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B类问题</w:t>
      </w:r>
    </w:p>
    <w:p w14:paraId="30D84DA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2.1影响了系统的正常运行，但没有导致系统工作流程和业务处理；此类问题在发现后应该立即着手解决，并</w:t>
      </w:r>
      <w:r>
        <w:rPr>
          <w:rFonts w:hint="eastAsia" w:ascii="仿宋_GB2312" w:hAnsi="仿宋_GB2312" w:eastAsia="仿宋_GB2312" w:cs="仿宋_GB2312"/>
          <w:sz w:val="28"/>
          <w:szCs w:val="28"/>
          <w:lang w:eastAsia="zh-CN"/>
        </w:rPr>
        <w:t>在最短时间内</w:t>
      </w:r>
      <w:r>
        <w:rPr>
          <w:rFonts w:hint="eastAsia" w:ascii="仿宋_GB2312" w:hAnsi="仿宋_GB2312" w:eastAsia="仿宋_GB2312" w:cs="仿宋_GB2312"/>
          <w:sz w:val="28"/>
          <w:szCs w:val="28"/>
        </w:rPr>
        <w:t>予以解决；</w:t>
      </w:r>
    </w:p>
    <w:p w14:paraId="3DC094ED">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2.2在任何时期当软件系统出现B类问题时，中标人的资深工程师将在</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小时内到达现场，与采购人维护人员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驻场工程师确认问题原因，并将在随后24小时内针对实际问题给出详细解决方案，并立即着手进行处理；</w:t>
      </w:r>
    </w:p>
    <w:p w14:paraId="1AC50231">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rPr>
        <w:t>C类问题：没有影响到系统的正常运行，但为了系统日后的正常使用必须加以修改或完善；此类问题中标人需要同采购人系统维护人员进行协调，在</w:t>
      </w:r>
      <w:r>
        <w:rPr>
          <w:rFonts w:hint="eastAsia" w:ascii="仿宋_GB2312" w:hAnsi="仿宋_GB2312" w:eastAsia="仿宋_GB2312" w:cs="仿宋_GB2312"/>
          <w:sz w:val="28"/>
          <w:szCs w:val="28"/>
          <w:lang w:eastAsia="zh-CN"/>
        </w:rPr>
        <w:t>确定</w:t>
      </w:r>
      <w:r>
        <w:rPr>
          <w:rFonts w:hint="eastAsia" w:ascii="仿宋_GB2312" w:hAnsi="仿宋_GB2312" w:eastAsia="仿宋_GB2312" w:cs="仿宋_GB2312"/>
          <w:sz w:val="28"/>
          <w:szCs w:val="28"/>
        </w:rPr>
        <w:t>具体的解决方案后，按照双方约定的时间计划按时完成修改或改进工作；</w:t>
      </w:r>
    </w:p>
    <w:p w14:paraId="6C6EF7D0">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D类问题：随着系统应用的不断深入，必然会提出越来越多的系统的完善和修改建议，对于此类问题，需要由合作双方来</w:t>
      </w:r>
      <w:r>
        <w:rPr>
          <w:rFonts w:hint="eastAsia" w:ascii="仿宋_GB2312" w:hAnsi="仿宋_GB2312" w:eastAsia="仿宋_GB2312" w:cs="仿宋_GB2312"/>
          <w:sz w:val="28"/>
          <w:szCs w:val="28"/>
          <w:lang w:eastAsia="zh-CN"/>
        </w:rPr>
        <w:t>协商</w:t>
      </w:r>
      <w:r>
        <w:rPr>
          <w:rFonts w:hint="eastAsia" w:ascii="仿宋_GB2312" w:hAnsi="仿宋_GB2312" w:eastAsia="仿宋_GB2312" w:cs="仿宋_GB2312"/>
          <w:sz w:val="28"/>
          <w:szCs w:val="28"/>
        </w:rPr>
        <w:t>制定修改计划进行；</w:t>
      </w:r>
    </w:p>
    <w:p w14:paraId="61900BCF">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在服务保证期内当软件系统出现C类问题或D类问题时，中标人在接到采购人书面形式的正式通知后的8小时内，维护人员将确定问题原因，在1个工作日内与医院协商出具体解决办法和时间安排，并着手按照计划进行修改，保证在约定时间内完成问题解决；</w:t>
      </w:r>
    </w:p>
    <w:p w14:paraId="3CDF06F9">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中标人将本着与采购人竭诚合作，为用户提供优质满意服务，努力提高软件的可靠性、易用性、可维护性的基本原则，由项目经理为总协调人，在接到采购人书面形式的正式通知后1个工作日内，将与采购人技术人员一道对软件功能的发展和完善进行友好协商，在3个工作日内给出问题的具体解决办法和时间安排，并据此开展工作。</w:t>
      </w:r>
    </w:p>
    <w:p w14:paraId="69F6BFD6">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四）其他服务要求</w:t>
      </w:r>
    </w:p>
    <w:p w14:paraId="202E69DE">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首先必须采取的是“预防为主，防患于未然”的基本原则，医院管理与基础业务系统建设项目肩负着为患者提供医疗健康保障任务。在此基础上，中标人不仅要对系统的使用人员和系统维护人员要进行不断的持续性的培训，为采购人提供长期的技术协助（提供新技术资料、新技术专题讲座等），同时将协助采购人和相关单位建立一套科学的系统使用与管理的制度和规范，以便能够预防问题出现并及时发现系统可能发生的一切问题和故障，并对故障隐患及时加以排除。</w:t>
      </w:r>
    </w:p>
    <w:p w14:paraId="65F18144">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为项目提供本地化的持续服务。</w:t>
      </w:r>
    </w:p>
    <w:p w14:paraId="09F06D68">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售后服务应遵循甲方的安全管理制度和条例。</w:t>
      </w:r>
    </w:p>
    <w:p w14:paraId="5253BAB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0"/>
        <w:jc w:val="both"/>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pacing w:val="6"/>
          <w:sz w:val="28"/>
          <w:szCs w:val="28"/>
          <w:lang w:val="en-US" w:eastAsia="zh-CN"/>
        </w:rPr>
        <w:t>安全保密</w:t>
      </w:r>
    </w:p>
    <w:p w14:paraId="226335A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服务提供商须与医院签订保密承诺书。</w:t>
      </w:r>
    </w:p>
    <w:p w14:paraId="4899ED8C">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 服务提供商</w:t>
      </w:r>
      <w:r>
        <w:rPr>
          <w:rFonts w:hint="eastAsia" w:ascii="仿宋_GB2312" w:hAnsi="仿宋_GB2312" w:eastAsia="仿宋_GB2312" w:cs="仿宋_GB2312"/>
          <w:sz w:val="28"/>
          <w:szCs w:val="28"/>
        </w:rPr>
        <w:t>承诺遵守保密相关法律法规，不向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及所投软件系统厂商</w:t>
      </w:r>
      <w:r>
        <w:rPr>
          <w:rFonts w:hint="eastAsia" w:ascii="仿宋_GB2312" w:hAnsi="仿宋_GB2312" w:eastAsia="仿宋_GB2312" w:cs="仿宋_GB2312"/>
          <w:sz w:val="28"/>
          <w:szCs w:val="28"/>
        </w:rPr>
        <w:t>内部无关人员及任何第三方泄露双方在执行合同过程中了解到的采购人任何信息。未经采购人同意，</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及所投产品厂商</w:t>
      </w:r>
      <w:r>
        <w:rPr>
          <w:rFonts w:hint="eastAsia" w:ascii="仿宋_GB2312" w:hAnsi="仿宋_GB2312" w:eastAsia="仿宋_GB2312" w:cs="仿宋_GB2312"/>
          <w:sz w:val="28"/>
          <w:szCs w:val="28"/>
        </w:rPr>
        <w:t>保证不在系统中植入无关信息（包括但不限于广告、</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及所投产品厂商</w:t>
      </w:r>
      <w:r>
        <w:rPr>
          <w:rFonts w:hint="eastAsia" w:ascii="仿宋_GB2312" w:hAnsi="仿宋_GB2312" w:eastAsia="仿宋_GB2312" w:cs="仿宋_GB2312"/>
          <w:sz w:val="28"/>
          <w:szCs w:val="28"/>
        </w:rPr>
        <w:t>或第三方的推广信息等）</w:t>
      </w:r>
      <w:r>
        <w:rPr>
          <w:rFonts w:hint="eastAsia" w:ascii="仿宋_GB2312" w:hAnsi="仿宋_GB2312" w:eastAsia="仿宋_GB2312" w:cs="仿宋_GB2312"/>
          <w:sz w:val="28"/>
          <w:szCs w:val="28"/>
          <w:lang w:eastAsia="zh-CN"/>
        </w:rPr>
        <w:t>；</w:t>
      </w:r>
    </w:p>
    <w:p w14:paraId="644FF3E8">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服务提供商</w:t>
      </w:r>
      <w:r>
        <w:rPr>
          <w:rFonts w:hint="eastAsia" w:ascii="仿宋_GB2312" w:hAnsi="仿宋_GB2312" w:eastAsia="仿宋_GB2312" w:cs="仿宋_GB2312"/>
          <w:sz w:val="28"/>
          <w:szCs w:val="28"/>
        </w:rPr>
        <w:t>承诺遵守保密相关法律法规，在双方合作过程中，保证对在工作中知悉到的（不论是采购人提供的还是偶然获得的）任何的业务、技术、管理、患者相关信息，以及为本项目而向供应商披露的文件、资料和业务、管理、技术、患者相关文件，负有严格的保密义务，不得以任何形式予以公开、发表或向任何第三方提供、泄露</w:t>
      </w:r>
      <w:r>
        <w:rPr>
          <w:rFonts w:hint="eastAsia" w:ascii="仿宋_GB2312" w:hAnsi="仿宋_GB2312" w:eastAsia="仿宋_GB2312" w:cs="仿宋_GB2312"/>
          <w:sz w:val="28"/>
          <w:szCs w:val="28"/>
          <w:lang w:eastAsia="zh-CN"/>
        </w:rPr>
        <w:t>；</w:t>
      </w:r>
    </w:p>
    <w:p w14:paraId="26C2977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禁止以直接、间接、口头或书面等形式提供或涉及的医院工作事项内容，均属于保密范畴</w:t>
      </w:r>
      <w:r>
        <w:rPr>
          <w:rFonts w:hint="eastAsia" w:ascii="仿宋_GB2312" w:hAnsi="仿宋_GB2312" w:eastAsia="仿宋_GB2312" w:cs="仿宋_GB2312"/>
          <w:sz w:val="28"/>
          <w:szCs w:val="28"/>
          <w:lang w:eastAsia="zh-CN"/>
        </w:rPr>
        <w:t>；</w:t>
      </w:r>
    </w:p>
    <w:p w14:paraId="15810AE3">
      <w:pPr>
        <w:numPr>
          <w:ilvl w:val="0"/>
          <w:numId w:val="1"/>
        </w:numPr>
        <w:spacing w:after="360" w:line="276" w:lineRule="auto"/>
        <w:ind w:firstLine="320" w:firstLineChars="100"/>
        <w:jc w:val="left"/>
        <w:rPr>
          <w:rFonts w:hint="eastAsia" w:ascii="仿宋_GB2312" w:hAnsi="楷体" w:eastAsia="仿宋_GB2312" w:cs="MingLiU"/>
          <w:iCs/>
          <w:kern w:val="0"/>
          <w:sz w:val="32"/>
          <w:szCs w:val="32"/>
          <w:lang w:val="zh-CN" w:bidi="zh-CN"/>
        </w:rPr>
      </w:pPr>
      <w:r>
        <w:rPr>
          <w:rFonts w:hint="eastAsia" w:ascii="仿宋_GB2312" w:hAnsi="楷体" w:eastAsia="仿宋_GB2312" w:cs="MingLiU"/>
          <w:iCs/>
          <w:kern w:val="0"/>
          <w:sz w:val="32"/>
          <w:szCs w:val="32"/>
          <w:lang w:val="zh-CN" w:bidi="zh-CN"/>
        </w:rPr>
        <w:t>付款方式</w:t>
      </w:r>
    </w:p>
    <w:p w14:paraId="5777F4A3">
      <w:pPr>
        <w:numPr>
          <w:ilvl w:val="0"/>
          <w:numId w:val="0"/>
        </w:numPr>
        <w:spacing w:after="360" w:line="276"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签订合同后服务期满半年，服务方提供全额发票，及半年售后服务报告（报告模板详见附件：售后服务报告），院方支付合同金额100%。</w:t>
      </w:r>
    </w:p>
    <w:p w14:paraId="5D2A2AA3">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其他要求</w:t>
      </w:r>
    </w:p>
    <w:p w14:paraId="466A1672">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在合同履行期间，不遵守承诺或达不到甲方要求，甲方有权解除合同，其一切责任由乙方负责，不得以任何理由向甲方提出任何索赔要求。若给甲方造成损失，甲方有权向乙方提出索赔。</w:t>
      </w:r>
    </w:p>
    <w:p w14:paraId="73D7403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pacing w:val="6"/>
          <w:sz w:val="28"/>
          <w:szCs w:val="28"/>
          <w:lang w:val="en-US" w:eastAsia="zh-CN"/>
        </w:rPr>
        <w:t>因本项目所涉及系统的框架、核心技术及平台源代码均为系统开发公司自主研发，拥有独立知识产权，故为保证系统的安全性和完整性、故障处理的效率性和便利性，中标方必须依法取得本项目所涉及系统开发公司的授权书。授权书由中标方自行取得，且由此产生的费用自行承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合同签订时提供授权书，加盖投标人公章，若未提供，采购方有权拒绝签订合同。</w:t>
      </w:r>
      <w:r>
        <w:rPr>
          <w:rFonts w:hint="eastAsia" w:ascii="仿宋_GB2312" w:hAnsi="仿宋_GB2312" w:eastAsia="仿宋_GB2312" w:cs="仿宋_GB2312"/>
          <w:sz w:val="28"/>
          <w:szCs w:val="28"/>
          <w:lang w:eastAsia="zh-CN"/>
        </w:rPr>
        <w:t>）</w:t>
      </w:r>
    </w:p>
    <w:p w14:paraId="13A0F39C">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p>
    <w:p w14:paraId="38644BB5">
      <w:pPr>
        <w:spacing w:after="360" w:line="276" w:lineRule="auto"/>
        <w:ind w:firstLine="320" w:firstLineChars="100"/>
        <w:jc w:val="left"/>
        <w:rPr>
          <w:rFonts w:ascii="仿宋_GB2312" w:eastAsia="仿宋_GB2312"/>
          <w:sz w:val="32"/>
          <w:szCs w:val="32"/>
        </w:rPr>
      </w:pPr>
      <w:r>
        <w:rPr>
          <w:rFonts w:hint="eastAsia" w:ascii="仿宋_GB2312" w:eastAsia="仿宋_GB2312"/>
          <w:sz w:val="32"/>
          <w:szCs w:val="32"/>
        </w:rPr>
        <w:t xml:space="preserve">                          </w:t>
      </w:r>
    </w:p>
    <w:p w14:paraId="66414F42">
      <w:pPr>
        <w:spacing w:after="360" w:line="276" w:lineRule="auto"/>
        <w:ind w:firstLine="5280" w:firstLineChars="1650"/>
        <w:jc w:val="left"/>
        <w:rPr>
          <w:rFonts w:ascii="仿宋_GB2312" w:eastAsia="仿宋_GB2312"/>
          <w:sz w:val="32"/>
          <w:szCs w:val="32"/>
        </w:rPr>
      </w:pPr>
    </w:p>
    <w:p w14:paraId="76275AF5">
      <w:pPr>
        <w:keepNext w:val="0"/>
        <w:keepLines w:val="0"/>
        <w:pageBreakBefore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28"/>
          <w:szCs w:val="28"/>
          <w:lang w:val="en-US" w:eastAsia="zh-CN"/>
        </w:rPr>
      </w:pPr>
    </w:p>
    <w:p w14:paraId="65403415">
      <w:pPr>
        <w:adjustRightInd w:val="0"/>
        <w:snapToGrid w:val="0"/>
        <w:spacing w:line="276" w:lineRule="auto"/>
        <w:rPr>
          <w:rFonts w:hint="eastAsia" w:ascii="仿宋_GB2312" w:hAnsi="仿宋_GB2312" w:eastAsia="仿宋_GB2312" w:cs="仿宋_GB2312"/>
          <w:color w:val="000000" w:themeColor="text1"/>
          <w:sz w:val="24"/>
          <w:szCs w:val="24"/>
          <w14:textFill>
            <w14:solidFill>
              <w14:schemeClr w14:val="tx1"/>
            </w14:solidFill>
          </w14:textFill>
        </w:rPr>
      </w:pPr>
    </w:p>
    <w:p w14:paraId="15BCFF22">
      <w:pPr>
        <w:adjustRightInd w:val="0"/>
        <w:snapToGrid w:val="0"/>
        <w:spacing w:line="276" w:lineRule="auto"/>
        <w:rPr>
          <w:rFonts w:hint="eastAsia" w:ascii="仿宋_GB2312" w:hAnsi="仿宋_GB2312" w:eastAsia="仿宋_GB2312" w:cs="仿宋_GB2312"/>
          <w:color w:val="000000" w:themeColor="text1"/>
          <w:sz w:val="24"/>
          <w:szCs w:val="24"/>
          <w14:textFill>
            <w14:solidFill>
              <w14:schemeClr w14:val="tx1"/>
            </w14:solidFill>
          </w14:textFill>
        </w:rPr>
      </w:pPr>
    </w:p>
    <w:p w14:paraId="42B32DDC">
      <w:pPr>
        <w:adjustRightInd w:val="0"/>
        <w:snapToGrid w:val="0"/>
        <w:spacing w:line="276"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附件</w:t>
      </w:r>
    </w:p>
    <w:p w14:paraId="50949113">
      <w:pPr>
        <w:adjustRightInd w:val="0"/>
        <w:snapToGrid w:val="0"/>
        <w:spacing w:line="276" w:lineRule="auto"/>
        <w:jc w:val="center"/>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售后服务报告</w:t>
      </w:r>
    </w:p>
    <w:tbl>
      <w:tblPr>
        <w:tblStyle w:val="8"/>
        <w:tblW w:w="8987" w:type="dxa"/>
        <w:tblInd w:w="93" w:type="dxa"/>
        <w:tblLayout w:type="fixed"/>
        <w:tblCellMar>
          <w:top w:w="0" w:type="dxa"/>
          <w:left w:w="108" w:type="dxa"/>
          <w:bottom w:w="0" w:type="dxa"/>
          <w:right w:w="108" w:type="dxa"/>
        </w:tblCellMar>
      </w:tblPr>
      <w:tblGrid>
        <w:gridCol w:w="1769"/>
        <w:gridCol w:w="236"/>
        <w:gridCol w:w="2540"/>
        <w:gridCol w:w="472"/>
        <w:gridCol w:w="1339"/>
        <w:gridCol w:w="1141"/>
        <w:gridCol w:w="1490"/>
      </w:tblGrid>
      <w:tr w14:paraId="05D42C82">
        <w:tblPrEx>
          <w:tblCellMar>
            <w:top w:w="0" w:type="dxa"/>
            <w:left w:w="108" w:type="dxa"/>
            <w:bottom w:w="0" w:type="dxa"/>
            <w:right w:w="108" w:type="dxa"/>
          </w:tblCellMar>
        </w:tblPrEx>
        <w:trPr>
          <w:trHeight w:val="402" w:hRule="atLeast"/>
        </w:trPr>
        <w:tc>
          <w:tcPr>
            <w:tcW w:w="4545" w:type="dxa"/>
            <w:gridSpan w:val="3"/>
            <w:tcBorders>
              <w:top w:val="nil"/>
              <w:left w:val="nil"/>
              <w:bottom w:val="single" w:color="auto" w:sz="8" w:space="0"/>
              <w:right w:val="nil"/>
            </w:tcBorders>
            <w:shd w:val="clear" w:color="000000" w:fill="FFFFFF"/>
            <w:noWrap/>
            <w:vAlign w:val="center"/>
          </w:tcPr>
          <w:p w14:paraId="6832AEC8">
            <w:pPr>
              <w:rPr>
                <w:rFonts w:hint="eastAsia" w:asciiTheme="minorEastAsia" w:hAnsiTheme="minorEastAsia" w:eastAsiaTheme="minorEastAsia" w:cstheme="minorEastAsia"/>
                <w:sz w:val="18"/>
                <w:szCs w:val="18"/>
              </w:rPr>
            </w:pPr>
          </w:p>
        </w:tc>
        <w:tc>
          <w:tcPr>
            <w:tcW w:w="1811" w:type="dxa"/>
            <w:gridSpan w:val="2"/>
            <w:tcBorders>
              <w:top w:val="nil"/>
              <w:left w:val="nil"/>
              <w:bottom w:val="nil"/>
              <w:right w:val="nil"/>
            </w:tcBorders>
            <w:shd w:val="clear" w:color="000000" w:fill="FFFFFF"/>
            <w:noWrap/>
            <w:vAlign w:val="center"/>
          </w:tcPr>
          <w:p w14:paraId="08D93717">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631" w:type="dxa"/>
            <w:gridSpan w:val="2"/>
            <w:tcBorders>
              <w:top w:val="nil"/>
              <w:left w:val="nil"/>
              <w:bottom w:val="nil"/>
              <w:right w:val="nil"/>
            </w:tcBorders>
            <w:shd w:val="clear" w:color="000000" w:fill="FFFFFF"/>
            <w:noWrap/>
            <w:vAlign w:val="center"/>
          </w:tcPr>
          <w:p w14:paraId="1EFEC56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02951492">
        <w:tblPrEx>
          <w:tblCellMar>
            <w:top w:w="0" w:type="dxa"/>
            <w:left w:w="108" w:type="dxa"/>
            <w:bottom w:w="0" w:type="dxa"/>
            <w:right w:w="108" w:type="dxa"/>
          </w:tblCellMar>
        </w:tblPrEx>
        <w:trPr>
          <w:trHeight w:val="480" w:hRule="atLeast"/>
        </w:trPr>
        <w:tc>
          <w:tcPr>
            <w:tcW w:w="1769" w:type="dxa"/>
            <w:tcBorders>
              <w:top w:val="single" w:color="auto" w:sz="8" w:space="0"/>
              <w:left w:val="single" w:color="auto" w:sz="8" w:space="0"/>
              <w:bottom w:val="single" w:color="auto" w:sz="4" w:space="0"/>
              <w:right w:val="single" w:color="000000" w:sz="4" w:space="0"/>
            </w:tcBorders>
            <w:shd w:val="clear" w:color="000000" w:fill="auto"/>
            <w:noWrap/>
            <w:vAlign w:val="center"/>
          </w:tcPr>
          <w:p w14:paraId="32716377">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合同名称</w:t>
            </w:r>
          </w:p>
        </w:tc>
        <w:tc>
          <w:tcPr>
            <w:tcW w:w="2776" w:type="dxa"/>
            <w:gridSpan w:val="2"/>
            <w:tcBorders>
              <w:top w:val="nil"/>
              <w:left w:val="nil"/>
              <w:bottom w:val="single" w:color="auto" w:sz="4" w:space="0"/>
              <w:right w:val="single" w:color="auto" w:sz="4" w:space="0"/>
            </w:tcBorders>
            <w:shd w:val="clear" w:color="auto" w:fill="auto"/>
            <w:vAlign w:val="center"/>
          </w:tcPr>
          <w:p w14:paraId="2C608193">
            <w:pPr>
              <w:rPr>
                <w:rFonts w:hint="eastAsia" w:asciiTheme="minorEastAsia" w:hAnsiTheme="minorEastAsia" w:eastAsiaTheme="minorEastAsia" w:cstheme="minorEastAsia"/>
                <w:sz w:val="18"/>
                <w:szCs w:val="18"/>
              </w:rPr>
            </w:pPr>
          </w:p>
        </w:tc>
        <w:tc>
          <w:tcPr>
            <w:tcW w:w="1811" w:type="dxa"/>
            <w:gridSpan w:val="2"/>
            <w:tcBorders>
              <w:top w:val="single" w:color="auto" w:sz="8" w:space="0"/>
              <w:left w:val="nil"/>
              <w:bottom w:val="single" w:color="auto" w:sz="4" w:space="0"/>
              <w:right w:val="single" w:color="auto" w:sz="4" w:space="0"/>
            </w:tcBorders>
            <w:shd w:val="clear" w:color="000000" w:fill="auto"/>
            <w:noWrap/>
            <w:vAlign w:val="center"/>
          </w:tcPr>
          <w:p w14:paraId="2545C178">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合同编号</w:t>
            </w:r>
          </w:p>
        </w:tc>
        <w:tc>
          <w:tcPr>
            <w:tcW w:w="2631" w:type="dxa"/>
            <w:gridSpan w:val="2"/>
            <w:tcBorders>
              <w:top w:val="single" w:color="auto" w:sz="8" w:space="0"/>
              <w:left w:val="nil"/>
              <w:bottom w:val="single" w:color="auto" w:sz="4" w:space="0"/>
              <w:right w:val="single" w:color="auto" w:sz="8" w:space="0"/>
            </w:tcBorders>
            <w:shd w:val="clear" w:color="auto" w:fill="auto"/>
            <w:noWrap/>
            <w:vAlign w:val="center"/>
          </w:tcPr>
          <w:p w14:paraId="0581F912">
            <w:pPr>
              <w:rPr>
                <w:rFonts w:hint="eastAsia" w:asciiTheme="minorEastAsia" w:hAnsiTheme="minorEastAsia" w:eastAsiaTheme="minorEastAsia" w:cstheme="minorEastAsia"/>
                <w:sz w:val="18"/>
                <w:szCs w:val="18"/>
              </w:rPr>
            </w:pPr>
          </w:p>
        </w:tc>
      </w:tr>
      <w:tr w14:paraId="5B47D89E">
        <w:tblPrEx>
          <w:tblCellMar>
            <w:top w:w="0" w:type="dxa"/>
            <w:left w:w="108" w:type="dxa"/>
            <w:bottom w:w="0" w:type="dxa"/>
            <w:right w:w="108" w:type="dxa"/>
          </w:tblCellMar>
        </w:tblPrEx>
        <w:trPr>
          <w:trHeight w:val="510"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190CA703">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客户名称</w:t>
            </w:r>
          </w:p>
        </w:tc>
        <w:tc>
          <w:tcPr>
            <w:tcW w:w="2776" w:type="dxa"/>
            <w:gridSpan w:val="2"/>
            <w:tcBorders>
              <w:top w:val="nil"/>
              <w:left w:val="nil"/>
              <w:bottom w:val="single" w:color="auto" w:sz="4" w:space="0"/>
              <w:right w:val="single" w:color="auto" w:sz="4" w:space="0"/>
            </w:tcBorders>
            <w:shd w:val="clear" w:color="auto" w:fill="auto"/>
            <w:vAlign w:val="center"/>
          </w:tcPr>
          <w:p w14:paraId="6BBC571A">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3346BF31">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客户地址</w:t>
            </w:r>
          </w:p>
        </w:tc>
        <w:tc>
          <w:tcPr>
            <w:tcW w:w="2631" w:type="dxa"/>
            <w:gridSpan w:val="2"/>
            <w:tcBorders>
              <w:top w:val="nil"/>
              <w:left w:val="nil"/>
              <w:bottom w:val="single" w:color="auto" w:sz="4" w:space="0"/>
              <w:right w:val="single" w:color="auto" w:sz="8" w:space="0"/>
            </w:tcBorders>
            <w:shd w:val="clear" w:color="auto" w:fill="auto"/>
            <w:noWrap/>
            <w:vAlign w:val="center"/>
          </w:tcPr>
          <w:p w14:paraId="176E05DC">
            <w:pPr>
              <w:rPr>
                <w:rFonts w:hint="eastAsia" w:asciiTheme="minorEastAsia" w:hAnsiTheme="minorEastAsia" w:eastAsiaTheme="minorEastAsia" w:cstheme="minorEastAsia"/>
                <w:sz w:val="18"/>
                <w:szCs w:val="18"/>
              </w:rPr>
            </w:pPr>
          </w:p>
        </w:tc>
      </w:tr>
      <w:tr w14:paraId="44BB4870">
        <w:tblPrEx>
          <w:tblCellMar>
            <w:top w:w="0" w:type="dxa"/>
            <w:left w:w="108" w:type="dxa"/>
            <w:bottom w:w="0" w:type="dxa"/>
            <w:right w:w="108" w:type="dxa"/>
          </w:tblCellMar>
        </w:tblPrEx>
        <w:trPr>
          <w:trHeight w:val="402"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4196D90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客户负责人</w:t>
            </w:r>
          </w:p>
        </w:tc>
        <w:tc>
          <w:tcPr>
            <w:tcW w:w="2776" w:type="dxa"/>
            <w:gridSpan w:val="2"/>
            <w:tcBorders>
              <w:top w:val="nil"/>
              <w:left w:val="nil"/>
              <w:bottom w:val="single" w:color="auto" w:sz="4" w:space="0"/>
              <w:right w:val="single" w:color="auto" w:sz="4" w:space="0"/>
            </w:tcBorders>
            <w:shd w:val="clear" w:color="auto" w:fill="auto"/>
            <w:noWrap/>
            <w:vAlign w:val="center"/>
          </w:tcPr>
          <w:p w14:paraId="0C36E919">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6694B750">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客户联系电话</w:t>
            </w:r>
          </w:p>
        </w:tc>
        <w:tc>
          <w:tcPr>
            <w:tcW w:w="2631" w:type="dxa"/>
            <w:gridSpan w:val="2"/>
            <w:tcBorders>
              <w:top w:val="nil"/>
              <w:left w:val="nil"/>
              <w:bottom w:val="single" w:color="auto" w:sz="4" w:space="0"/>
              <w:right w:val="single" w:color="auto" w:sz="8" w:space="0"/>
            </w:tcBorders>
            <w:shd w:val="clear" w:color="auto" w:fill="auto"/>
            <w:noWrap/>
            <w:vAlign w:val="center"/>
          </w:tcPr>
          <w:p w14:paraId="353C656E">
            <w:pPr>
              <w:rPr>
                <w:rFonts w:hint="eastAsia" w:asciiTheme="minorEastAsia" w:hAnsiTheme="minorEastAsia" w:eastAsiaTheme="minorEastAsia" w:cstheme="minorEastAsia"/>
                <w:sz w:val="18"/>
                <w:szCs w:val="18"/>
              </w:rPr>
            </w:pPr>
          </w:p>
        </w:tc>
      </w:tr>
      <w:tr w14:paraId="71885445">
        <w:tblPrEx>
          <w:tblCellMar>
            <w:top w:w="0" w:type="dxa"/>
            <w:left w:w="108" w:type="dxa"/>
            <w:bottom w:w="0" w:type="dxa"/>
            <w:right w:w="108" w:type="dxa"/>
          </w:tblCellMar>
        </w:tblPrEx>
        <w:trPr>
          <w:trHeight w:val="480"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075A305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实施方名称</w:t>
            </w:r>
          </w:p>
        </w:tc>
        <w:tc>
          <w:tcPr>
            <w:tcW w:w="2776" w:type="dxa"/>
            <w:gridSpan w:val="2"/>
            <w:tcBorders>
              <w:top w:val="nil"/>
              <w:left w:val="nil"/>
              <w:bottom w:val="single" w:color="auto" w:sz="4" w:space="0"/>
              <w:right w:val="single" w:color="auto" w:sz="4" w:space="0"/>
            </w:tcBorders>
            <w:shd w:val="clear" w:color="auto" w:fill="auto"/>
            <w:vAlign w:val="center"/>
          </w:tcPr>
          <w:p w14:paraId="30782791">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137ED0D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实施方地址</w:t>
            </w:r>
          </w:p>
        </w:tc>
        <w:tc>
          <w:tcPr>
            <w:tcW w:w="2631" w:type="dxa"/>
            <w:gridSpan w:val="2"/>
            <w:tcBorders>
              <w:top w:val="nil"/>
              <w:left w:val="nil"/>
              <w:bottom w:val="single" w:color="auto" w:sz="4" w:space="0"/>
              <w:right w:val="single" w:color="auto" w:sz="8" w:space="0"/>
            </w:tcBorders>
            <w:shd w:val="clear" w:color="auto" w:fill="auto"/>
            <w:noWrap/>
            <w:vAlign w:val="center"/>
          </w:tcPr>
          <w:p w14:paraId="25F39CBA">
            <w:pPr>
              <w:rPr>
                <w:rFonts w:hint="eastAsia" w:asciiTheme="minorEastAsia" w:hAnsiTheme="minorEastAsia" w:eastAsiaTheme="minorEastAsia" w:cstheme="minorEastAsia"/>
                <w:sz w:val="18"/>
                <w:szCs w:val="18"/>
              </w:rPr>
            </w:pPr>
          </w:p>
        </w:tc>
      </w:tr>
      <w:tr w14:paraId="50958AA4">
        <w:tblPrEx>
          <w:tblCellMar>
            <w:top w:w="0" w:type="dxa"/>
            <w:left w:w="108" w:type="dxa"/>
            <w:bottom w:w="0" w:type="dxa"/>
            <w:right w:w="108" w:type="dxa"/>
          </w:tblCellMar>
        </w:tblPrEx>
        <w:trPr>
          <w:trHeight w:val="402"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53177EA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实施方负责人</w:t>
            </w:r>
          </w:p>
        </w:tc>
        <w:tc>
          <w:tcPr>
            <w:tcW w:w="2776" w:type="dxa"/>
            <w:gridSpan w:val="2"/>
            <w:tcBorders>
              <w:top w:val="nil"/>
              <w:left w:val="nil"/>
              <w:bottom w:val="single" w:color="auto" w:sz="4" w:space="0"/>
              <w:right w:val="single" w:color="auto" w:sz="4" w:space="0"/>
            </w:tcBorders>
            <w:shd w:val="clear" w:color="auto" w:fill="auto"/>
            <w:noWrap/>
            <w:vAlign w:val="center"/>
          </w:tcPr>
          <w:p w14:paraId="5A87CE1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811" w:type="dxa"/>
            <w:gridSpan w:val="2"/>
            <w:tcBorders>
              <w:top w:val="nil"/>
              <w:left w:val="nil"/>
              <w:bottom w:val="single" w:color="auto" w:sz="4" w:space="0"/>
              <w:right w:val="single" w:color="auto" w:sz="4" w:space="0"/>
            </w:tcBorders>
            <w:shd w:val="clear" w:color="000000" w:fill="auto"/>
            <w:noWrap/>
            <w:vAlign w:val="center"/>
          </w:tcPr>
          <w:p w14:paraId="63EEC911">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服务联系电话</w:t>
            </w:r>
          </w:p>
        </w:tc>
        <w:tc>
          <w:tcPr>
            <w:tcW w:w="2631" w:type="dxa"/>
            <w:gridSpan w:val="2"/>
            <w:tcBorders>
              <w:top w:val="nil"/>
              <w:left w:val="nil"/>
              <w:bottom w:val="single" w:color="auto" w:sz="4" w:space="0"/>
              <w:right w:val="single" w:color="auto" w:sz="8" w:space="0"/>
            </w:tcBorders>
            <w:shd w:val="clear" w:color="auto" w:fill="auto"/>
            <w:noWrap/>
            <w:vAlign w:val="center"/>
          </w:tcPr>
          <w:p w14:paraId="7EEC120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6606ADE1">
        <w:tblPrEx>
          <w:tblCellMar>
            <w:top w:w="0" w:type="dxa"/>
            <w:left w:w="108" w:type="dxa"/>
            <w:bottom w:w="0" w:type="dxa"/>
            <w:right w:w="108" w:type="dxa"/>
          </w:tblCellMar>
        </w:tblPrEx>
        <w:trPr>
          <w:trHeight w:val="402" w:hRule="atLeast"/>
        </w:trPr>
        <w:tc>
          <w:tcPr>
            <w:tcW w:w="1769" w:type="dxa"/>
            <w:vMerge w:val="restart"/>
            <w:tcBorders>
              <w:top w:val="nil"/>
              <w:left w:val="single" w:color="auto" w:sz="8" w:space="0"/>
              <w:bottom w:val="single" w:color="000000" w:sz="4" w:space="0"/>
              <w:right w:val="single" w:color="auto" w:sz="4" w:space="0"/>
            </w:tcBorders>
            <w:shd w:val="clear" w:color="auto" w:fill="auto"/>
            <w:noWrap/>
            <w:textDirection w:val="tbRlV"/>
            <w:vAlign w:val="center"/>
          </w:tcPr>
          <w:p w14:paraId="149A8000">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售 后 服 务 事 项</w:t>
            </w:r>
          </w:p>
        </w:tc>
        <w:tc>
          <w:tcPr>
            <w:tcW w:w="7218" w:type="dxa"/>
            <w:gridSpan w:val="6"/>
            <w:vMerge w:val="restart"/>
            <w:tcBorders>
              <w:top w:val="single" w:color="auto" w:sz="4" w:space="0"/>
              <w:left w:val="single" w:color="auto" w:sz="4" w:space="0"/>
              <w:bottom w:val="nil"/>
              <w:right w:val="single" w:color="000000" w:sz="8" w:space="0"/>
            </w:tcBorders>
            <w:shd w:val="clear" w:color="000000" w:fill="FFFFFF"/>
            <w:vAlign w:val="center"/>
          </w:tcPr>
          <w:p w14:paraId="697E028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我司已按《技术支持与维护合同》（合同编号：    ）规定，于xxxx年xx月xx日完成技术支持与维护系统的工作，经我司自行检测已达到合同规定的标准条件，服务期为xxxx年xx月xx日起-xxxx年xx月xx日止；现根据合同约定申请贵单位予以验收。</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     感谢贵单位在本项目维护过程中给予我司的支持和配合！</w:t>
            </w:r>
          </w:p>
        </w:tc>
      </w:tr>
      <w:tr w14:paraId="3BB7B12C">
        <w:tblPrEx>
          <w:tblCellMar>
            <w:top w:w="0" w:type="dxa"/>
            <w:left w:w="108" w:type="dxa"/>
            <w:bottom w:w="0" w:type="dxa"/>
            <w:right w:w="108" w:type="dxa"/>
          </w:tblCellMar>
        </w:tblPrEx>
        <w:trPr>
          <w:trHeight w:val="390" w:hRule="atLeast"/>
        </w:trPr>
        <w:tc>
          <w:tcPr>
            <w:tcW w:w="1769" w:type="dxa"/>
            <w:vMerge w:val="continue"/>
            <w:tcBorders>
              <w:top w:val="nil"/>
              <w:left w:val="single" w:color="auto" w:sz="8" w:space="0"/>
              <w:bottom w:val="single" w:color="000000" w:sz="4" w:space="0"/>
              <w:right w:val="single" w:color="auto" w:sz="4" w:space="0"/>
            </w:tcBorders>
            <w:vAlign w:val="center"/>
          </w:tcPr>
          <w:p w14:paraId="7E4EA49B">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2D48DF1F">
            <w:pPr>
              <w:rPr>
                <w:rFonts w:hint="eastAsia" w:asciiTheme="minorEastAsia" w:hAnsiTheme="minorEastAsia" w:eastAsiaTheme="minorEastAsia" w:cstheme="minorEastAsia"/>
                <w:sz w:val="18"/>
                <w:szCs w:val="18"/>
              </w:rPr>
            </w:pPr>
          </w:p>
        </w:tc>
      </w:tr>
      <w:tr w14:paraId="2B1BD3E6">
        <w:tblPrEx>
          <w:tblCellMar>
            <w:top w:w="0" w:type="dxa"/>
            <w:left w:w="108" w:type="dxa"/>
            <w:bottom w:w="0" w:type="dxa"/>
            <w:right w:w="108" w:type="dxa"/>
          </w:tblCellMar>
        </w:tblPrEx>
        <w:trPr>
          <w:trHeight w:val="799" w:hRule="atLeast"/>
        </w:trPr>
        <w:tc>
          <w:tcPr>
            <w:tcW w:w="1769" w:type="dxa"/>
            <w:vMerge w:val="continue"/>
            <w:tcBorders>
              <w:top w:val="nil"/>
              <w:left w:val="single" w:color="auto" w:sz="8" w:space="0"/>
              <w:bottom w:val="single" w:color="000000" w:sz="4" w:space="0"/>
              <w:right w:val="single" w:color="auto" w:sz="4" w:space="0"/>
            </w:tcBorders>
            <w:vAlign w:val="center"/>
          </w:tcPr>
          <w:p w14:paraId="02393EEA">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4487B306">
            <w:pPr>
              <w:rPr>
                <w:rFonts w:hint="eastAsia" w:asciiTheme="minorEastAsia" w:hAnsiTheme="minorEastAsia" w:eastAsiaTheme="minorEastAsia" w:cstheme="minorEastAsia"/>
                <w:sz w:val="18"/>
                <w:szCs w:val="18"/>
              </w:rPr>
            </w:pPr>
          </w:p>
        </w:tc>
      </w:tr>
      <w:tr w14:paraId="298FF27A">
        <w:tblPrEx>
          <w:tblCellMar>
            <w:top w:w="0" w:type="dxa"/>
            <w:left w:w="108" w:type="dxa"/>
            <w:bottom w:w="0" w:type="dxa"/>
            <w:right w:w="108" w:type="dxa"/>
          </w:tblCellMar>
        </w:tblPrEx>
        <w:trPr>
          <w:trHeight w:val="1290" w:hRule="atLeast"/>
        </w:trPr>
        <w:tc>
          <w:tcPr>
            <w:tcW w:w="1769" w:type="dxa"/>
            <w:vMerge w:val="continue"/>
            <w:tcBorders>
              <w:top w:val="nil"/>
              <w:left w:val="single" w:color="auto" w:sz="8" w:space="0"/>
              <w:bottom w:val="single" w:color="000000" w:sz="4" w:space="0"/>
              <w:right w:val="single" w:color="auto" w:sz="4" w:space="0"/>
            </w:tcBorders>
            <w:vAlign w:val="center"/>
          </w:tcPr>
          <w:p w14:paraId="050D528B">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47D8239B">
            <w:pPr>
              <w:rPr>
                <w:rFonts w:hint="eastAsia" w:asciiTheme="minorEastAsia" w:hAnsiTheme="minorEastAsia" w:eastAsiaTheme="minorEastAsia" w:cstheme="minorEastAsia"/>
                <w:sz w:val="18"/>
                <w:szCs w:val="18"/>
              </w:rPr>
            </w:pPr>
          </w:p>
        </w:tc>
      </w:tr>
      <w:tr w14:paraId="67781A16">
        <w:tblPrEx>
          <w:tblCellMar>
            <w:top w:w="0" w:type="dxa"/>
            <w:left w:w="108" w:type="dxa"/>
            <w:bottom w:w="0" w:type="dxa"/>
            <w:right w:w="108" w:type="dxa"/>
          </w:tblCellMar>
        </w:tblPrEx>
        <w:trPr>
          <w:trHeight w:val="1245" w:hRule="atLeast"/>
        </w:trPr>
        <w:tc>
          <w:tcPr>
            <w:tcW w:w="1769" w:type="dxa"/>
            <w:vMerge w:val="continue"/>
            <w:tcBorders>
              <w:top w:val="nil"/>
              <w:left w:val="single" w:color="auto" w:sz="8" w:space="0"/>
              <w:bottom w:val="single" w:color="000000" w:sz="4" w:space="0"/>
              <w:right w:val="single" w:color="auto" w:sz="4" w:space="0"/>
            </w:tcBorders>
            <w:vAlign w:val="center"/>
          </w:tcPr>
          <w:p w14:paraId="39EC5B7A">
            <w:pPr>
              <w:rPr>
                <w:rFonts w:hint="eastAsia" w:asciiTheme="minorEastAsia" w:hAnsiTheme="minorEastAsia" w:eastAsiaTheme="minorEastAsia" w:cstheme="minorEastAsia"/>
                <w:sz w:val="18"/>
                <w:szCs w:val="18"/>
              </w:rPr>
            </w:pPr>
          </w:p>
        </w:tc>
        <w:tc>
          <w:tcPr>
            <w:tcW w:w="7218" w:type="dxa"/>
            <w:gridSpan w:val="6"/>
            <w:tcBorders>
              <w:top w:val="nil"/>
              <w:left w:val="nil"/>
              <w:bottom w:val="single" w:color="auto" w:sz="4" w:space="0"/>
              <w:right w:val="single" w:color="000000" w:sz="8" w:space="0"/>
            </w:tcBorders>
            <w:shd w:val="clear" w:color="000000" w:fill="FFFFFF"/>
            <w:noWrap/>
            <w:vAlign w:val="center"/>
          </w:tcPr>
          <w:p w14:paraId="7CD6B166">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7A3CD483">
        <w:tblPrEx>
          <w:tblCellMar>
            <w:top w:w="0" w:type="dxa"/>
            <w:left w:w="108" w:type="dxa"/>
            <w:bottom w:w="0" w:type="dxa"/>
            <w:right w:w="108" w:type="dxa"/>
          </w:tblCellMar>
        </w:tblPrEx>
        <w:trPr>
          <w:trHeight w:val="1680" w:hRule="atLeast"/>
        </w:trPr>
        <w:tc>
          <w:tcPr>
            <w:tcW w:w="1769" w:type="dxa"/>
            <w:vMerge w:val="continue"/>
            <w:tcBorders>
              <w:top w:val="nil"/>
              <w:left w:val="single" w:color="auto" w:sz="8" w:space="0"/>
              <w:bottom w:val="single" w:color="000000" w:sz="4" w:space="0"/>
              <w:right w:val="single" w:color="auto" w:sz="4" w:space="0"/>
            </w:tcBorders>
            <w:vAlign w:val="center"/>
          </w:tcPr>
          <w:p w14:paraId="45B64FA3">
            <w:pPr>
              <w:rPr>
                <w:rFonts w:hint="eastAsia" w:asciiTheme="minorEastAsia" w:hAnsiTheme="minorEastAsia" w:eastAsiaTheme="minorEastAsia" w:cstheme="minorEastAsia"/>
                <w:sz w:val="18"/>
                <w:szCs w:val="18"/>
              </w:rPr>
            </w:pPr>
          </w:p>
        </w:tc>
        <w:tc>
          <w:tcPr>
            <w:tcW w:w="7218" w:type="dxa"/>
            <w:gridSpan w:val="6"/>
            <w:tcBorders>
              <w:top w:val="single" w:color="auto" w:sz="4" w:space="0"/>
              <w:left w:val="nil"/>
              <w:bottom w:val="nil"/>
              <w:right w:val="single" w:color="000000" w:sz="8" w:space="0"/>
            </w:tcBorders>
            <w:shd w:val="clear" w:color="000000" w:fill="FFFFFF"/>
            <w:noWrap/>
          </w:tcPr>
          <w:p w14:paraId="08AF45B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客户意见：</w:t>
            </w:r>
          </w:p>
        </w:tc>
      </w:tr>
      <w:tr w14:paraId="79081E7A">
        <w:tblPrEx>
          <w:tblCellMar>
            <w:top w:w="0" w:type="dxa"/>
            <w:left w:w="108" w:type="dxa"/>
            <w:bottom w:w="0" w:type="dxa"/>
            <w:right w:w="108" w:type="dxa"/>
          </w:tblCellMar>
        </w:tblPrEx>
        <w:trPr>
          <w:trHeight w:val="435" w:hRule="atLeast"/>
        </w:trPr>
        <w:tc>
          <w:tcPr>
            <w:tcW w:w="1769" w:type="dxa"/>
            <w:vMerge w:val="continue"/>
            <w:tcBorders>
              <w:top w:val="nil"/>
              <w:left w:val="single" w:color="auto" w:sz="8" w:space="0"/>
              <w:bottom w:val="single" w:color="000000" w:sz="4" w:space="0"/>
              <w:right w:val="single" w:color="auto" w:sz="4" w:space="0"/>
            </w:tcBorders>
            <w:vAlign w:val="center"/>
          </w:tcPr>
          <w:p w14:paraId="15E8DE5F">
            <w:pPr>
              <w:rPr>
                <w:rFonts w:hint="eastAsia" w:asciiTheme="minorEastAsia" w:hAnsiTheme="minorEastAsia" w:eastAsiaTheme="minorEastAsia" w:cstheme="minorEastAsia"/>
                <w:sz w:val="18"/>
                <w:szCs w:val="18"/>
              </w:rPr>
            </w:pPr>
          </w:p>
        </w:tc>
        <w:tc>
          <w:tcPr>
            <w:tcW w:w="236" w:type="dxa"/>
            <w:tcBorders>
              <w:top w:val="nil"/>
              <w:left w:val="nil"/>
              <w:bottom w:val="nil"/>
              <w:right w:val="nil"/>
            </w:tcBorders>
            <w:shd w:val="clear" w:color="000000" w:fill="FFFFFF"/>
            <w:noWrap/>
            <w:vAlign w:val="center"/>
          </w:tcPr>
          <w:p w14:paraId="66FCF7E9">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3012" w:type="dxa"/>
            <w:gridSpan w:val="2"/>
            <w:tcBorders>
              <w:top w:val="nil"/>
              <w:left w:val="nil"/>
              <w:bottom w:val="nil"/>
              <w:right w:val="nil"/>
            </w:tcBorders>
            <w:shd w:val="clear" w:color="000000" w:fill="FFFFFF"/>
            <w:noWrap/>
            <w:vAlign w:val="center"/>
          </w:tcPr>
          <w:p w14:paraId="6C80D77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480" w:type="dxa"/>
            <w:gridSpan w:val="2"/>
            <w:tcBorders>
              <w:top w:val="nil"/>
              <w:left w:val="nil"/>
              <w:bottom w:val="nil"/>
              <w:right w:val="nil"/>
            </w:tcBorders>
            <w:shd w:val="clear" w:color="000000" w:fill="FFFFFF"/>
            <w:noWrap/>
            <w:vAlign w:val="center"/>
          </w:tcPr>
          <w:p w14:paraId="3B974FF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490" w:type="dxa"/>
            <w:tcBorders>
              <w:top w:val="nil"/>
              <w:left w:val="nil"/>
              <w:bottom w:val="nil"/>
              <w:right w:val="single" w:color="auto" w:sz="8" w:space="0"/>
            </w:tcBorders>
            <w:shd w:val="clear" w:color="000000" w:fill="FFFFFF"/>
            <w:noWrap/>
            <w:vAlign w:val="center"/>
          </w:tcPr>
          <w:p w14:paraId="187AB4C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3889D081">
        <w:tblPrEx>
          <w:tblCellMar>
            <w:top w:w="0" w:type="dxa"/>
            <w:left w:w="108" w:type="dxa"/>
            <w:bottom w:w="0" w:type="dxa"/>
            <w:right w:w="108" w:type="dxa"/>
          </w:tblCellMar>
        </w:tblPrEx>
        <w:trPr>
          <w:trHeight w:val="1065" w:hRule="atLeast"/>
        </w:trPr>
        <w:tc>
          <w:tcPr>
            <w:tcW w:w="1769" w:type="dxa"/>
            <w:vMerge w:val="continue"/>
            <w:tcBorders>
              <w:top w:val="nil"/>
              <w:left w:val="single" w:color="auto" w:sz="8" w:space="0"/>
              <w:bottom w:val="single" w:color="000000" w:sz="4" w:space="0"/>
              <w:right w:val="single" w:color="auto" w:sz="4" w:space="0"/>
            </w:tcBorders>
            <w:vAlign w:val="center"/>
          </w:tcPr>
          <w:p w14:paraId="768B0152">
            <w:pPr>
              <w:rPr>
                <w:rFonts w:hint="eastAsia" w:asciiTheme="minorEastAsia" w:hAnsiTheme="minorEastAsia" w:eastAsiaTheme="minorEastAsia" w:cstheme="minorEastAsia"/>
                <w:sz w:val="18"/>
                <w:szCs w:val="18"/>
              </w:rPr>
            </w:pPr>
          </w:p>
        </w:tc>
        <w:tc>
          <w:tcPr>
            <w:tcW w:w="236" w:type="dxa"/>
            <w:tcBorders>
              <w:top w:val="nil"/>
              <w:left w:val="nil"/>
              <w:bottom w:val="single" w:color="auto" w:sz="4" w:space="0"/>
              <w:right w:val="nil"/>
            </w:tcBorders>
            <w:shd w:val="clear" w:color="000000" w:fill="FFFFFF"/>
            <w:noWrap/>
            <w:vAlign w:val="center"/>
          </w:tcPr>
          <w:p w14:paraId="00974742">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3012" w:type="dxa"/>
            <w:gridSpan w:val="2"/>
            <w:tcBorders>
              <w:top w:val="nil"/>
              <w:left w:val="nil"/>
              <w:bottom w:val="single" w:color="auto" w:sz="4" w:space="0"/>
              <w:right w:val="nil"/>
            </w:tcBorders>
            <w:shd w:val="clear" w:color="000000" w:fill="FFFFFF"/>
            <w:noWrap/>
            <w:vAlign w:val="center"/>
          </w:tcPr>
          <w:p w14:paraId="7FD621F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480" w:type="dxa"/>
            <w:gridSpan w:val="2"/>
            <w:tcBorders>
              <w:top w:val="nil"/>
              <w:left w:val="nil"/>
              <w:bottom w:val="single" w:color="auto" w:sz="4" w:space="0"/>
              <w:right w:val="nil"/>
            </w:tcBorders>
            <w:shd w:val="clear" w:color="000000" w:fill="FFFFFF"/>
            <w:noWrap/>
            <w:vAlign w:val="center"/>
          </w:tcPr>
          <w:p w14:paraId="32BEEC0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490" w:type="dxa"/>
            <w:tcBorders>
              <w:top w:val="nil"/>
              <w:left w:val="nil"/>
              <w:bottom w:val="single" w:color="auto" w:sz="4" w:space="0"/>
              <w:right w:val="single" w:color="auto" w:sz="8" w:space="0"/>
            </w:tcBorders>
            <w:shd w:val="clear" w:color="000000" w:fill="FFFFFF"/>
            <w:noWrap/>
            <w:vAlign w:val="center"/>
          </w:tcPr>
          <w:p w14:paraId="719312A6">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532F8D67">
        <w:tblPrEx>
          <w:tblCellMar>
            <w:top w:w="0" w:type="dxa"/>
            <w:left w:w="108" w:type="dxa"/>
            <w:bottom w:w="0" w:type="dxa"/>
            <w:right w:w="108" w:type="dxa"/>
          </w:tblCellMar>
        </w:tblPrEx>
        <w:trPr>
          <w:trHeight w:val="915" w:hRule="atLeast"/>
        </w:trPr>
        <w:tc>
          <w:tcPr>
            <w:tcW w:w="1769" w:type="dxa"/>
            <w:tcBorders>
              <w:top w:val="single" w:color="auto" w:sz="4" w:space="0"/>
              <w:left w:val="single" w:color="auto" w:sz="8" w:space="0"/>
              <w:bottom w:val="single" w:color="auto" w:sz="8" w:space="0"/>
              <w:right w:val="single" w:color="000000" w:sz="4" w:space="0"/>
            </w:tcBorders>
            <w:shd w:val="clear" w:color="auto" w:fill="auto"/>
            <w:vAlign w:val="center"/>
          </w:tcPr>
          <w:p w14:paraId="77CB12C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客户方负责人/日期</w:t>
            </w:r>
          </w:p>
        </w:tc>
        <w:tc>
          <w:tcPr>
            <w:tcW w:w="2776" w:type="dxa"/>
            <w:gridSpan w:val="2"/>
            <w:tcBorders>
              <w:top w:val="nil"/>
              <w:left w:val="nil"/>
              <w:bottom w:val="single" w:color="auto" w:sz="8" w:space="0"/>
              <w:right w:val="nil"/>
            </w:tcBorders>
            <w:shd w:val="clear" w:color="000000" w:fill="FFFFFF"/>
            <w:noWrap/>
            <w:vAlign w:val="center"/>
          </w:tcPr>
          <w:p w14:paraId="3487A108">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811" w:type="dxa"/>
            <w:gridSpan w:val="2"/>
            <w:tcBorders>
              <w:top w:val="nil"/>
              <w:left w:val="single" w:color="auto" w:sz="4" w:space="0"/>
              <w:bottom w:val="single" w:color="auto" w:sz="8" w:space="0"/>
              <w:right w:val="single" w:color="auto" w:sz="4" w:space="0"/>
            </w:tcBorders>
            <w:shd w:val="clear" w:color="auto" w:fill="auto"/>
            <w:vAlign w:val="center"/>
          </w:tcPr>
          <w:p w14:paraId="04E8537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实施方负责人/日期</w:t>
            </w:r>
          </w:p>
        </w:tc>
        <w:tc>
          <w:tcPr>
            <w:tcW w:w="2631" w:type="dxa"/>
            <w:gridSpan w:val="2"/>
            <w:tcBorders>
              <w:top w:val="nil"/>
              <w:left w:val="nil"/>
              <w:bottom w:val="single" w:color="auto" w:sz="8" w:space="0"/>
              <w:right w:val="single" w:color="auto" w:sz="8" w:space="0"/>
            </w:tcBorders>
            <w:shd w:val="clear" w:color="000000" w:fill="FFFFFF"/>
            <w:noWrap/>
            <w:vAlign w:val="center"/>
          </w:tcPr>
          <w:p w14:paraId="28097C7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bl>
    <w:p w14:paraId="2E8FC97A">
      <w:pPr>
        <w:numPr>
          <w:ilvl w:val="0"/>
          <w:numId w:val="0"/>
        </w:numPr>
        <w:spacing w:after="360" w:line="276" w:lineRule="auto"/>
        <w:ind w:firstLine="560" w:firstLineChars="200"/>
        <w:jc w:val="left"/>
        <w:rPr>
          <w:rFonts w:hint="eastAsia" w:ascii="仿宋_GB2312" w:hAnsi="仿宋_GB2312" w:eastAsia="仿宋_GB2312" w:cs="仿宋_GB2312"/>
          <w:kern w:val="2"/>
          <w:sz w:val="28"/>
          <w:szCs w:val="28"/>
          <w:lang w:val="en-US" w:eastAsia="zh-CN" w:bidi="ar-SA"/>
        </w:rPr>
      </w:pPr>
    </w:p>
    <w:p w14:paraId="1409B5A4">
      <w:pPr>
        <w:spacing w:after="360" w:line="276" w:lineRule="auto"/>
        <w:ind w:firstLine="160" w:firstLineChars="50"/>
        <w:jc w:val="left"/>
        <w:rPr>
          <w:rFonts w:hint="eastAsia" w:ascii="仿宋_GB2312" w:eastAsia="仿宋_GB2312"/>
          <w:sz w:val="32"/>
          <w:szCs w:val="32"/>
          <w:lang w:val="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6A780"/>
    <w:multiLevelType w:val="singleLevel"/>
    <w:tmpl w:val="7456A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Dc0YjZiYTdjY2RkNDUwZTdlYzU1NjY4ZDc3ZTIifQ=="/>
  </w:docVars>
  <w:rsids>
    <w:rsidRoot w:val="00B27E64"/>
    <w:rsid w:val="00000B3D"/>
    <w:rsid w:val="000F6DB7"/>
    <w:rsid w:val="00153D1A"/>
    <w:rsid w:val="0017500A"/>
    <w:rsid w:val="001E5ABB"/>
    <w:rsid w:val="00200656"/>
    <w:rsid w:val="00203D2D"/>
    <w:rsid w:val="0023284E"/>
    <w:rsid w:val="002B0BAA"/>
    <w:rsid w:val="002E06B6"/>
    <w:rsid w:val="00304AB0"/>
    <w:rsid w:val="00317810"/>
    <w:rsid w:val="0032148B"/>
    <w:rsid w:val="003F1090"/>
    <w:rsid w:val="0046680E"/>
    <w:rsid w:val="00490CF6"/>
    <w:rsid w:val="004A49C6"/>
    <w:rsid w:val="00581E8A"/>
    <w:rsid w:val="005E3E27"/>
    <w:rsid w:val="006360F5"/>
    <w:rsid w:val="0066588B"/>
    <w:rsid w:val="006B42C0"/>
    <w:rsid w:val="006B4732"/>
    <w:rsid w:val="006C34AF"/>
    <w:rsid w:val="006D65A9"/>
    <w:rsid w:val="006D6E97"/>
    <w:rsid w:val="00711E64"/>
    <w:rsid w:val="00790510"/>
    <w:rsid w:val="0082090B"/>
    <w:rsid w:val="0087525B"/>
    <w:rsid w:val="008D1908"/>
    <w:rsid w:val="009251A2"/>
    <w:rsid w:val="0093601C"/>
    <w:rsid w:val="00955428"/>
    <w:rsid w:val="00976C21"/>
    <w:rsid w:val="00985DF4"/>
    <w:rsid w:val="009A4323"/>
    <w:rsid w:val="009C7138"/>
    <w:rsid w:val="009F7559"/>
    <w:rsid w:val="00A3337D"/>
    <w:rsid w:val="00AA1AEB"/>
    <w:rsid w:val="00AA46C2"/>
    <w:rsid w:val="00B17332"/>
    <w:rsid w:val="00B27E64"/>
    <w:rsid w:val="00B501A4"/>
    <w:rsid w:val="00B74C9F"/>
    <w:rsid w:val="00B849B2"/>
    <w:rsid w:val="00BB09EF"/>
    <w:rsid w:val="00BB7F09"/>
    <w:rsid w:val="00C42C87"/>
    <w:rsid w:val="00C55F73"/>
    <w:rsid w:val="00C64517"/>
    <w:rsid w:val="00CC3B1A"/>
    <w:rsid w:val="00D07041"/>
    <w:rsid w:val="00D13586"/>
    <w:rsid w:val="00D22726"/>
    <w:rsid w:val="00D43B63"/>
    <w:rsid w:val="00E1626E"/>
    <w:rsid w:val="00E30CB6"/>
    <w:rsid w:val="00E34749"/>
    <w:rsid w:val="00EA519B"/>
    <w:rsid w:val="00EE35F2"/>
    <w:rsid w:val="00EF3582"/>
    <w:rsid w:val="00F101D6"/>
    <w:rsid w:val="00F71810"/>
    <w:rsid w:val="00F95DE5"/>
    <w:rsid w:val="00FA0B22"/>
    <w:rsid w:val="00FD1AAC"/>
    <w:rsid w:val="0D51729D"/>
    <w:rsid w:val="10C55FD8"/>
    <w:rsid w:val="1E257D6C"/>
    <w:rsid w:val="1E5170FD"/>
    <w:rsid w:val="20FB12BF"/>
    <w:rsid w:val="23955CDE"/>
    <w:rsid w:val="2A2D4562"/>
    <w:rsid w:val="2FDB0F1C"/>
    <w:rsid w:val="473867FC"/>
    <w:rsid w:val="50E845E4"/>
    <w:rsid w:val="511C2BBB"/>
    <w:rsid w:val="55035AF9"/>
    <w:rsid w:val="5D1A27D4"/>
    <w:rsid w:val="5FAC1EBE"/>
    <w:rsid w:val="68B17BB0"/>
    <w:rsid w:val="6BC73B27"/>
    <w:rsid w:val="6D06231C"/>
    <w:rsid w:val="705F3C4A"/>
    <w:rsid w:val="71071F35"/>
    <w:rsid w:val="73076EFF"/>
    <w:rsid w:val="76DD01A2"/>
    <w:rsid w:val="BAFB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420" w:firstLineChars="200"/>
    </w:pPr>
    <w:rPr>
      <w:rFonts w:ascii="Calibri" w:hAnsi="Calibri"/>
    </w:rPr>
  </w:style>
  <w:style w:type="character" w:styleId="10">
    <w:name w:val="Hyperlink"/>
    <w:basedOn w:val="9"/>
    <w:unhideWhenUsed/>
    <w:qFormat/>
    <w:uiPriority w:val="99"/>
    <w:rPr>
      <w:color w:val="0000FF"/>
      <w:u w:val="single"/>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paragraph" w:styleId="13">
    <w:name w:val="List Paragraph"/>
    <w:basedOn w:val="1"/>
    <w:qFormat/>
    <w:uiPriority w:val="34"/>
    <w:pPr>
      <w:ind w:firstLine="420" w:firstLineChars="200"/>
    </w:pPr>
    <w:rPr>
      <w:szCs w:val="22"/>
    </w:rPr>
  </w:style>
  <w:style w:type="paragraph" w:customStyle="1" w:styleId="14">
    <w:name w:val="规范正文"/>
    <w:basedOn w:val="1"/>
    <w:qFormat/>
    <w:uiPriority w:val="0"/>
    <w:pPr>
      <w:adjustRightInd w:val="0"/>
      <w:spacing w:line="360" w:lineRule="auto"/>
      <w:ind w:left="48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3984</Words>
  <Characters>4116</Characters>
  <Lines>14</Lines>
  <Paragraphs>4</Paragraphs>
  <TotalTime>3</TotalTime>
  <ScaleCrop>false</ScaleCrop>
  <LinksUpToDate>false</LinksUpToDate>
  <CharactersWithSpaces>4285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2022-04-24T14:34:00Z</dcterms:created>
  <dc:creator>Administrator</dc:creator>
  <cp:lastModifiedBy>洪三银</cp:lastModifiedBy>
  <dcterms:modified xsi:type="dcterms:W3CDTF">2025-03-24T09:33:59Z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eyJoZGlkIjoiMDZmZjFmYWIyZjA0MmMwODU1YjliNDAwNDU1MGY5NDEifQ==</vt:lpwstr>
  </property>
  <property fmtid="{D5CDD505-2E9C-101B-9397-08002B2CF9AE}" pid="4" name="ICV">
    <vt:lpwstr>4AA42C0900B54D428B95CF63558D5EC5_13</vt:lpwstr>
  </property>
  <property fmtid="{D5CDD505-2E9C-101B-9397-08002B2CF9AE}" pid="5" name="KSOTemplateDocerSaveRecord">
    <vt:lpwstr>eyJoZGlkIjoiNWFlN2ExYmVmMmY1YjE5ZjhkZWNmYTgzOTI0Yzk1ZmMiLCJ1c2VySWQiOiIxNTc4MDQ1MjYyIn0=</vt:lpwstr>
  </property>
</Properties>
</file>