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1F1AF">
      <w:pPr>
        <w:keepNext w:val="0"/>
        <w:keepLines w:val="0"/>
        <w:pageBreakBefore w:val="0"/>
        <w:widowControl w:val="0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9" w:firstLineChars="600"/>
        <w:jc w:val="left"/>
        <w:textAlignment w:val="auto"/>
        <w:rPr>
          <w:rFonts w:hint="default" w:ascii="仿宋_GB2312" w:hAnsi="仿宋" w:eastAsia="仿宋_GB2312" w:cs="MingLiU"/>
          <w:b/>
          <w:bCs/>
          <w:kern w:val="0"/>
          <w:sz w:val="40"/>
          <w:szCs w:val="40"/>
          <w:lang w:val="en-US" w:bidi="zh-CN"/>
        </w:rPr>
      </w:pPr>
      <w:r>
        <w:rPr>
          <w:rFonts w:hint="eastAsia" w:ascii="仿宋_GB2312" w:hAnsi="仿宋" w:eastAsia="仿宋_GB2312" w:cs="MingLiU"/>
          <w:b/>
          <w:bCs/>
          <w:kern w:val="0"/>
          <w:sz w:val="40"/>
          <w:szCs w:val="40"/>
          <w:lang w:val="en-US" w:bidi="zh-CN"/>
        </w:rPr>
        <w:t>2024年内部控制评价参数</w:t>
      </w:r>
    </w:p>
    <w:p w14:paraId="2A43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lef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聘请具备资质的第三方机构，对医院2024年内部控制管理工作开展情况进行评价。</w:t>
      </w:r>
    </w:p>
    <w:p w14:paraId="7AF299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</w:pPr>
    </w:p>
    <w:p w14:paraId="78F079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321" w:firstLineChars="100"/>
        <w:textAlignment w:val="auto"/>
        <w:rPr>
          <w:rFonts w:hint="default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  <w:t>项目预算：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3"/>
        <w:gridCol w:w="1560"/>
        <w:gridCol w:w="2835"/>
        <w:gridCol w:w="850"/>
        <w:gridCol w:w="992"/>
        <w:gridCol w:w="1767"/>
      </w:tblGrid>
      <w:tr w14:paraId="2301C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2DCF6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181D4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C0A94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采购项目名称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D3DCB">
            <w:pPr>
              <w:spacing w:line="330" w:lineRule="exac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  <w:p w14:paraId="11C456EF">
            <w:pPr>
              <w:spacing w:line="330" w:lineRule="exac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AB63F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 进口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982B4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预算金额（元）</w:t>
            </w:r>
          </w:p>
        </w:tc>
      </w:tr>
      <w:tr w14:paraId="2829E0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A7564">
            <w:pPr>
              <w:jc w:val="center"/>
              <w:rPr>
                <w:rFonts w:hint="eastAsia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E631806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服务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6C5A2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bookmarkStart w:id="0" w:name="_GoBack"/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2024年内部控制评价</w:t>
            </w:r>
            <w:bookmarkEnd w:id="0"/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报告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4B286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62F89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345B8">
            <w:pPr>
              <w:ind w:firstLine="560" w:firstLineChars="200"/>
              <w:jc w:val="both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3.38万</w:t>
            </w:r>
          </w:p>
        </w:tc>
      </w:tr>
    </w:tbl>
    <w:p w14:paraId="7621D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left"/>
        <w:textAlignment w:val="auto"/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zh-CN" w:bidi="zh-CN"/>
        </w:rPr>
        <w:t>（说明：项目类别分为医用设备、通用设备、工程、服务、维修、维保、耗材）</w:t>
      </w:r>
    </w:p>
    <w:p w14:paraId="0F4B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jc w:val="left"/>
        <w:textAlignment w:val="auto"/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</w:pPr>
    </w:p>
    <w:p w14:paraId="4F36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jc w:val="left"/>
        <w:textAlignment w:val="auto"/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需求概况：</w:t>
      </w:r>
    </w:p>
    <w:p w14:paraId="45955B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/>
          <w:lang w:val="en-US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  <w:t>内部控制评价项目需求概况如下：</w:t>
      </w:r>
    </w:p>
    <w:p w14:paraId="2A58D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lef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1.根据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《财政部关于全面推进行政事业单位内部控制建设的指导意见》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（财会〔2015〕24号）的有关精神，依据《行政事业单位内部控制规范（试行）》（财会〔2012〕21号）和《行政事业单位内部控制报告管理制度（试行）》（财会〔2017〕1号）的有关规定，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拟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聘请具备资质的第三方会计师事务所，对本院的内部控制工作情况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进行评价。</w:t>
      </w:r>
    </w:p>
    <w:p w14:paraId="3C350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lef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2.拟聘请的第三方会计师事务所，应当如期保质完成服务，组成专业项目组进入现场，现场驻场时间原则上2个月左右，综合运用个别访谈、调查问卷、专题讨论、穿行测试、实地查验、抽样和比较分析等方法，收集内控设计和运行的证据，按照评价的具体内容，形成《内控制评价工作底稿》，研究分析内部控制缺陷。</w:t>
      </w:r>
    </w:p>
    <w:p w14:paraId="33E325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32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3.根据现场测试结果，认定内部控制缺陷，编写《内部控制缺陷认定汇总表》，说明内部控制缺陷及成团、表现形式、影响程度等，报分管院领导审核。如有重大内部控制缺陷，应提交医院内部控制领导小组审定。</w:t>
      </w:r>
    </w:p>
    <w:p w14:paraId="3204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left"/>
        <w:textAlignment w:val="auto"/>
        <w:rPr>
          <w:rFonts w:hint="default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4.在规定时限内填报2024年行政事业单位内部控制报告软件。在约定时间内完成审计工作，出具内部控制评价审计报告。</w:t>
      </w:r>
    </w:p>
    <w:p w14:paraId="303B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left"/>
        <w:textAlignment w:val="auto"/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5.持有国家认可的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《会计师事务所执业证书》，具备公立医院内控评价资质，</w:t>
      </w: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并在近3年内从事过公立医院内部控制评价业务。</w:t>
      </w:r>
    </w:p>
    <w:p w14:paraId="32040C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6.本次议价不接受联合体。</w:t>
      </w:r>
    </w:p>
    <w:p w14:paraId="4E8600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7.单位负责人为同一人，或者存在直接控股、管理关系的不同投标人，不得参与本项目议价。</w:t>
      </w:r>
    </w:p>
    <w:p w14:paraId="634079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default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8.付款方式：内部控制评价报告经医院审定通过后，一次性付款。</w:t>
      </w:r>
    </w:p>
    <w:p w14:paraId="184342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64FF8213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32DE88AB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3FC5F6FF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499464AA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77F9B6DE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719AD9E2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0451EB45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0CF0CEFF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4956C8DD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635C951B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68D898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 xml:space="preserve">    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zY2N2E5MjVlZWU1MTcwYzJhYTkxOWE0NDRjYjgifQ=="/>
  </w:docVars>
  <w:rsids>
    <w:rsidRoot w:val="00B27E64"/>
    <w:rsid w:val="00000B3D"/>
    <w:rsid w:val="0017500A"/>
    <w:rsid w:val="00203D2D"/>
    <w:rsid w:val="0023284E"/>
    <w:rsid w:val="002E06B6"/>
    <w:rsid w:val="0032148B"/>
    <w:rsid w:val="003F1090"/>
    <w:rsid w:val="006360F5"/>
    <w:rsid w:val="006B42C0"/>
    <w:rsid w:val="006B4732"/>
    <w:rsid w:val="006C34AF"/>
    <w:rsid w:val="00711E64"/>
    <w:rsid w:val="0087525B"/>
    <w:rsid w:val="0093601C"/>
    <w:rsid w:val="00976C21"/>
    <w:rsid w:val="009C7138"/>
    <w:rsid w:val="00AA1AEB"/>
    <w:rsid w:val="00B27E64"/>
    <w:rsid w:val="00B501A4"/>
    <w:rsid w:val="00B849B2"/>
    <w:rsid w:val="00C42C87"/>
    <w:rsid w:val="00CC3B1A"/>
    <w:rsid w:val="00D43B63"/>
    <w:rsid w:val="00E34749"/>
    <w:rsid w:val="00EA519B"/>
    <w:rsid w:val="00F95DE5"/>
    <w:rsid w:val="01487982"/>
    <w:rsid w:val="0322141D"/>
    <w:rsid w:val="03EF3B00"/>
    <w:rsid w:val="0EDE7D21"/>
    <w:rsid w:val="101766BF"/>
    <w:rsid w:val="10725EA8"/>
    <w:rsid w:val="10E802E4"/>
    <w:rsid w:val="12A3059B"/>
    <w:rsid w:val="12FA5D08"/>
    <w:rsid w:val="135E0581"/>
    <w:rsid w:val="15640325"/>
    <w:rsid w:val="1A7647E7"/>
    <w:rsid w:val="1B010554"/>
    <w:rsid w:val="1B233720"/>
    <w:rsid w:val="1F5A52A8"/>
    <w:rsid w:val="1F7A4FD9"/>
    <w:rsid w:val="202860FB"/>
    <w:rsid w:val="23103A2A"/>
    <w:rsid w:val="2B425DB4"/>
    <w:rsid w:val="331A7B19"/>
    <w:rsid w:val="3B6145B8"/>
    <w:rsid w:val="4284390F"/>
    <w:rsid w:val="46C249F2"/>
    <w:rsid w:val="473867FC"/>
    <w:rsid w:val="4BCC587B"/>
    <w:rsid w:val="4E3E1AB9"/>
    <w:rsid w:val="5FAC1EBE"/>
    <w:rsid w:val="6211025A"/>
    <w:rsid w:val="6F7264A0"/>
    <w:rsid w:val="71071F35"/>
    <w:rsid w:val="72036FE4"/>
    <w:rsid w:val="72F96CB0"/>
    <w:rsid w:val="743E0466"/>
    <w:rsid w:val="76823D1A"/>
    <w:rsid w:val="777C6716"/>
    <w:rsid w:val="79812BAF"/>
    <w:rsid w:val="7C8F243F"/>
    <w:rsid w:val="7EC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autoRedefine/>
    <w:unhideWhenUsed/>
    <w:qFormat/>
    <w:uiPriority w:val="99"/>
    <w:pPr>
      <w:widowControl w:val="0"/>
      <w:spacing w:after="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725</Words>
  <Characters>759</Characters>
  <Lines>4</Lines>
  <Paragraphs>1</Paragraphs>
  <TotalTime>25</TotalTime>
  <ScaleCrop>false</ScaleCrop>
  <LinksUpToDate>false</LinksUpToDate>
  <CharactersWithSpaces>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2022-04-24T06:34:00Z</dcterms:created>
  <dc:creator>Administrator</dc:creator>
  <cp:lastModifiedBy>洪三银</cp:lastModifiedBy>
  <cp:lastPrinted>2025-02-25T01:01:00Z</cp:lastPrinted>
  <dcterms:modified xsi:type="dcterms:W3CDTF">2025-03-10T02:14:01Z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447651538BB14B1CB59B0E75AE3E7DD3_13</vt:lpwstr>
  </property>
  <property fmtid="{D5CDD505-2E9C-101B-9397-08002B2CF9AE}" pid="5" name="KSOTemplateDocerSaveRecord">
    <vt:lpwstr>eyJoZGlkIjoiNWFlN2ExYmVmMmY1YjE5ZjhkZWNmYTgzOTI0Yzk1ZmMiLCJ1c2VySWQiOiIxNTc4MDQ1MjYyIn0=</vt:lpwstr>
  </property>
</Properties>
</file>