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2E61">
      <w:pPr>
        <w:pStyle w:val="3"/>
        <w:ind w:firstLine="1807" w:firstLineChars="500"/>
        <w:rPr>
          <w:rFonts w:hint="default" w:ascii="仿宋_GB2312" w:hAnsi="仿宋" w:eastAsia="仿宋_GB2312" w:cs="MingLiU"/>
          <w:b/>
          <w:bCs/>
          <w:kern w:val="0"/>
          <w:sz w:val="36"/>
          <w:szCs w:val="36"/>
          <w:lang w:val="en-US" w:bidi="zh-CN"/>
        </w:rPr>
      </w:pPr>
      <w:r>
        <w:rPr>
          <w:rFonts w:hint="eastAsia" w:ascii="仿宋_GB2312" w:hAnsi="仿宋" w:eastAsia="仿宋_GB2312" w:cs="MingLiU"/>
          <w:b/>
          <w:bCs/>
          <w:kern w:val="0"/>
          <w:sz w:val="36"/>
          <w:szCs w:val="36"/>
          <w:lang w:val="en-US" w:bidi="zh-CN"/>
        </w:rPr>
        <w:t>2024年内控风险评估参数</w:t>
      </w:r>
    </w:p>
    <w:p w14:paraId="36DFE083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聘请具备资质的第三方机构，对医院2024年内部控制管理工作开展情况进行风险评估。</w:t>
      </w:r>
    </w:p>
    <w:p w14:paraId="058DFC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</w:pPr>
    </w:p>
    <w:p w14:paraId="18735B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321" w:firstLineChars="100"/>
        <w:textAlignment w:val="auto"/>
        <w:rPr>
          <w:rFonts w:hint="default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项目预算：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1560"/>
        <w:gridCol w:w="2835"/>
        <w:gridCol w:w="850"/>
        <w:gridCol w:w="992"/>
        <w:gridCol w:w="1767"/>
      </w:tblGrid>
      <w:tr w14:paraId="3DAF23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A5ED72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A1145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751C9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24644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  <w:p w14:paraId="4470C43E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B45F9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 进口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725E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7309B2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1CE76">
            <w:pPr>
              <w:jc w:val="center"/>
              <w:rPr>
                <w:rFonts w:hint="default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EA1BA71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服务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FECAE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2024年内控风险评估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DBE0B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AD9F4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A0FDB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3万</w:t>
            </w:r>
          </w:p>
        </w:tc>
      </w:tr>
    </w:tbl>
    <w:p w14:paraId="6C33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left"/>
        <w:textAlignment w:val="auto"/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  <w:t>（说明：项目类别分为医用设备、通用设备、工程、服</w:t>
      </w:r>
      <w:bookmarkStart w:id="0" w:name="_GoBack"/>
      <w:bookmarkEnd w:id="0"/>
      <w:r>
        <w:rPr>
          <w:rFonts w:hint="eastAsia" w:ascii="仿宋_GB2312" w:hAnsi="楷体" w:eastAsia="仿宋_GB2312" w:cs="MingLiU"/>
          <w:b w:val="0"/>
          <w:bCs w:val="0"/>
          <w:iCs/>
          <w:kern w:val="0"/>
          <w:sz w:val="32"/>
          <w:szCs w:val="32"/>
          <w:lang w:val="zh-CN" w:bidi="zh-CN"/>
        </w:rPr>
        <w:t>务、维修、维保、耗材）</w:t>
      </w:r>
    </w:p>
    <w:p w14:paraId="11AEC573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A3936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仿宋_GB2312" w:hAnsi="楷体" w:eastAsia="仿宋_GB2312" w:cs="MingLiU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内部控制风险评估项目需求概况如下：</w:t>
      </w:r>
    </w:p>
    <w:p w14:paraId="0F2711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320" w:firstLineChars="100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1.为贯彻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bidi="zh-CN"/>
        </w:rPr>
        <w:t>落实《公立医院内部控制管理办法》（国卫财务发〔2020〕31号）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的要求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bidi="zh-CN"/>
        </w:rPr>
        <w:t>，强化医院经济活动全流程风险防控，保障国有资产安全与运营效率，针对2025年大型医院巡查重点（采购、设备、药剂等科室），需全面识别采购、预算、合同等环节的合规风险。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并根据风险分析的结果，制订风险应对策略，将风险控制在可控范围之内，提升全院整体对风险的承受能力以及业务层面的可接受风险水平。拟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聘请具备资质的第三方会计师事务所，对本院的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内控风险进行评估。</w:t>
      </w:r>
    </w:p>
    <w:p w14:paraId="0E8A9B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2.拟聘请的第三方会计师事务所，应当如期保质完成服务，组成专业项目组进入现场，现场驻场时间原则上2个月左右，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  <w:t>基于医院近3年财务数据、采购台账及合同档案，通过专业团队现场调研与数据分析，可系统性识别风险点并制定整改方案。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eastAsia="zh-CN" w:bidi="zh-CN"/>
        </w:rPr>
        <w:t>在规定时限内形成风险评估报告，并向医院内部控制领导小组汇报。</w:t>
      </w:r>
    </w:p>
    <w:p w14:paraId="0729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3.持有国家认可的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《会计师事务所执业证书》，具备公立医院内控风险评估资质，</w:t>
      </w: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近3年内从事过公立医院内控风险评估业务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。</w:t>
      </w:r>
    </w:p>
    <w:p w14:paraId="2746C7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4.本次议价不接受联合体。</w:t>
      </w:r>
    </w:p>
    <w:p w14:paraId="55EA22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5.单位负责人为同一人，或者存在直接控股、管理关系的不同投标人，不得参与本项目议价。</w:t>
      </w:r>
    </w:p>
    <w:p w14:paraId="4D981A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20" w:firstLineChars="1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 w:cs="MingLiU"/>
          <w:iCs/>
          <w:color w:val="auto"/>
          <w:kern w:val="0"/>
          <w:sz w:val="32"/>
          <w:szCs w:val="32"/>
          <w:lang w:val="en-US" w:eastAsia="zh-CN" w:bidi="zh-CN"/>
        </w:rPr>
        <w:t>6.付款方式：内部控制风险评估报告经医院审定通过后，一次性付款。</w:t>
      </w:r>
    </w:p>
    <w:p w14:paraId="5E819F7D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61E09B2C">
      <w:pPr>
        <w:pStyle w:val="3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2D732B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007F8"/>
    <w:rsid w:val="07E32107"/>
    <w:rsid w:val="5AF007F8"/>
    <w:rsid w:val="69B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656</Characters>
  <Lines>0</Lines>
  <Paragraphs>0</Paragraphs>
  <TotalTime>6</TotalTime>
  <ScaleCrop>false</ScaleCrop>
  <LinksUpToDate>false</LinksUpToDate>
  <CharactersWithSpaces>657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2025-03-07T01:08:00Z</dcterms:created>
  <dc:creator>洪三银</dc:creator>
  <cp:lastModifiedBy>洪三银</cp:lastModifiedBy>
  <dcterms:modified xsi:type="dcterms:W3CDTF">2025-03-10T01:24:18Z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B64C5A7B84AA4C4B8B59FE0DA4543D46_11</vt:lpwstr>
  </property>
  <property fmtid="{D5CDD505-2E9C-101B-9397-08002B2CF9AE}" pid="4" name="KSOTemplateDocerSaveRecord">
    <vt:lpwstr>eyJoZGlkIjoiNWFlN2ExYmVmMmY1YjE5ZjhkZWNmYTgzOTI0Yzk1ZmMiLCJ1c2VySWQiOiIxNTc4MDQ1MjYyIn0=</vt:lpwstr>
  </property>
</Properties>
</file>